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uppressLineNumbers/>
        <w:tabs>
          <w:tab w:val="left" w:pos="5730" w:leader="none"/>
        </w:tabs>
        <w:suppressAutoHyphens w:val="true"/>
        <w:bidi w:val="0"/>
        <w:spacing w:lineRule="exact" w:line="240" w:before="120" w:after="120"/>
        <w:ind w:left="7937" w:right="0" w:hanging="0"/>
        <w:jc w:val="both"/>
      </w:pPr>
      <w:bookmarkStart w:id="0" w:name="__DdeLink__1212_1149760354"/>
      <w:bookmarkEnd w:id="0"/>
      <w:r>
        <w:rPr>
          <w:rFonts w:eastAsia="Times New Roman" w:cs="Times New Roman" w:ascii="Times New Roman" w:hAnsi="Times New Roman"/>
          <w:i/>
          <w:color w:val="00000A"/>
          <w:spacing w:val="0"/>
          <w:sz w:val="24"/>
          <w:shd w:fill="FFFFFF" w:val="clear"/>
        </w:rPr>
        <w:t xml:space="preserve">Додаток до Програми «Забезпечення житлом дітей-сиріт та дітей, позбавлених батьківського піклування, осіб з їх числа </w:t>
      </w:r>
      <w:r>
        <w:rPr>
          <w:rFonts w:eastAsia="Times New Roman" w:cs="Times New Roman" w:ascii="Times New Roman" w:hAnsi="Times New Roman"/>
          <w:color w:val="00000A"/>
          <w:spacing w:val="0"/>
          <w:sz w:val="24"/>
          <w:shd w:fill="FFFFFF" w:val="clear"/>
        </w:rPr>
        <w:t xml:space="preserve"> </w:t>
      </w:r>
      <w:r>
        <w:rPr>
          <w:rFonts w:eastAsia="Times New Roman" w:cs="Times New Roman" w:ascii="Times New Roman" w:hAnsi="Times New Roman"/>
          <w:i/>
          <w:iCs/>
          <w:color w:val="00000A"/>
          <w:spacing w:val="0"/>
          <w:sz w:val="24"/>
          <w:shd w:fill="FFFFFF" w:val="clear"/>
        </w:rPr>
        <w:t>на 2021 – 2023 роки у  м.Слов’янську»</w:t>
      </w:r>
      <w:r/>
    </w:p>
    <w:p>
      <w:pPr>
        <w:pStyle w:val="Normal"/>
        <w:jc w:val="center"/>
        <w:rPr>
          <w:sz w:val="24"/>
          <w:b/>
          <w:sz w:val="24"/>
          <w:b/>
          <w:szCs w:val="24"/>
          <w:bCs/>
          <w:rFonts w:ascii="Liberation Serif" w:hAnsi="Liberation Serif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b/>
          <w:bCs/>
        </w:rPr>
        <w:t xml:space="preserve">Заходи щодо реалізації програми «Забезпечення житлом дітей – сиріт та дітей, </w:t>
      </w:r>
      <w:r/>
    </w:p>
    <w:p>
      <w:pPr>
        <w:pStyle w:val="Normal"/>
        <w:jc w:val="center"/>
        <w:rPr>
          <w:sz w:val="24"/>
          <w:b/>
          <w:sz w:val="24"/>
          <w:b/>
          <w:szCs w:val="24"/>
          <w:bCs/>
          <w:rFonts w:ascii="Liberation Serif" w:hAnsi="Liberation Serif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b/>
          <w:bCs/>
        </w:rPr>
        <w:t>позбавлених батьківського піклування, осіб з їх числа на 2021 – 2023 роки»</w:t>
      </w:r>
      <w:r/>
    </w:p>
    <w:p>
      <w:pPr>
        <w:pStyle w:val="Normal"/>
        <w:jc w:val="center"/>
        <w:rPr>
          <w:sz w:val="24"/>
          <w:b/>
          <w:sz w:val="24"/>
          <w:b/>
          <w:szCs w:val="24"/>
          <w:bCs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eastAsia="SimSun" w:cs="Mangal" w:ascii="Times New Roman" w:hAnsi="Times New Roman"/>
          <w:b/>
          <w:bCs/>
          <w:color w:val="00000A"/>
          <w:sz w:val="24"/>
          <w:szCs w:val="24"/>
          <w:lang w:val="ru-RU" w:eastAsia="zh-CN" w:bidi="hi-IN"/>
        </w:rPr>
      </w:r>
      <w:r/>
    </w:p>
    <w:tbl>
      <w:tblPr>
        <w:tblW w:w="13950" w:type="dxa"/>
        <w:jc w:val="left"/>
        <w:tblInd w:w="-32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4" w:type="dxa"/>
          <w:bottom w:w="0" w:type="dxa"/>
          <w:right w:w="24" w:type="dxa"/>
        </w:tblCellMar>
      </w:tblPr>
      <w:tblGrid>
        <w:gridCol w:w="569"/>
        <w:gridCol w:w="2833"/>
        <w:gridCol w:w="1020"/>
        <w:gridCol w:w="2039"/>
        <w:gridCol w:w="959"/>
        <w:gridCol w:w="793"/>
        <w:gridCol w:w="794"/>
        <w:gridCol w:w="734"/>
        <w:gridCol w:w="732"/>
        <w:gridCol w:w="7"/>
        <w:gridCol w:w="3468"/>
      </w:tblGrid>
      <w:tr>
        <w:trPr>
          <w:trHeight w:val="1" w:hRule="atLeast"/>
          <w:cantSplit w:val="true"/>
        </w:trPr>
        <w:tc>
          <w:tcPr>
            <w:tcW w:w="56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п/п</w:t>
            </w:r>
            <w:r/>
          </w:p>
        </w:tc>
        <w:tc>
          <w:tcPr>
            <w:tcW w:w="283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Зміст заходу</w:t>
            </w:r>
            <w:r/>
          </w:p>
        </w:tc>
        <w:tc>
          <w:tcPr>
            <w:tcW w:w="102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Термін виконання</w:t>
            </w:r>
            <w:r/>
          </w:p>
        </w:tc>
        <w:tc>
          <w:tcPr>
            <w:tcW w:w="203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Відповідальні виконавці</w:t>
            </w:r>
            <w:r/>
          </w:p>
        </w:tc>
        <w:tc>
          <w:tcPr>
            <w:tcW w:w="4019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Орієнтовні фінансування по рокам виконання (тис.грн.)</w:t>
            </w:r>
            <w:r/>
          </w:p>
        </w:tc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Очікуваний результат виконання заходу</w:t>
            </w:r>
            <w:r/>
          </w:p>
        </w:tc>
      </w:tr>
      <w:tr>
        <w:trPr>
          <w:trHeight w:val="1" w:hRule="atLeast"/>
        </w:trPr>
        <w:tc>
          <w:tcPr>
            <w:tcW w:w="56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pacing w:lineRule="exact" w:line="276" w:before="0" w:after="200"/>
              <w:ind w:left="0" w:right="0" w:hanging="0"/>
              <w:jc w:val="left"/>
              <w:rPr>
                <w:sz w:val="22"/>
                <w:spacing w:val="0"/>
                <w:shd w:fill="FFFFFF" w:val="clear"/>
                <w:sz w:val="22"/>
                <w:szCs w:val="24"/>
                <w:rFonts w:ascii="Times New Roman" w:hAnsi="Times New Roman" w:eastAsia="Calibri" w:cs="Calibri"/>
                <w:color w:val="00000A"/>
                <w:lang w:val="ru-RU" w:eastAsia="zh-CN" w:bidi="hi-IN"/>
              </w:rPr>
            </w:pPr>
            <w:r>
              <w:rPr>
                <w:rFonts w:eastAsia="Calibri" w:cs="Calibri" w:ascii="Times New Roman" w:hAnsi="Times New Roman"/>
                <w:color w:val="00000A"/>
                <w:spacing w:val="0"/>
                <w:sz w:val="22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283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pacing w:lineRule="exact" w:line="276" w:before="0" w:after="200"/>
              <w:ind w:left="0" w:right="0" w:hanging="0"/>
              <w:jc w:val="left"/>
              <w:rPr>
                <w:sz w:val="22"/>
                <w:spacing w:val="0"/>
                <w:shd w:fill="FFFFFF" w:val="clear"/>
                <w:sz w:val="22"/>
                <w:szCs w:val="24"/>
                <w:rFonts w:ascii="Times New Roman" w:hAnsi="Times New Roman" w:eastAsia="Calibri" w:cs="Calibri"/>
                <w:color w:val="00000A"/>
                <w:lang w:val="ru-RU" w:eastAsia="zh-CN" w:bidi="hi-IN"/>
              </w:rPr>
            </w:pPr>
            <w:r>
              <w:rPr>
                <w:rFonts w:eastAsia="Calibri" w:cs="Calibri" w:ascii="Times New Roman" w:hAnsi="Times New Roman"/>
                <w:color w:val="00000A"/>
                <w:spacing w:val="0"/>
                <w:sz w:val="22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102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pacing w:lineRule="exact" w:line="276" w:before="0" w:after="200"/>
              <w:ind w:left="0" w:right="0" w:hanging="0"/>
              <w:jc w:val="left"/>
              <w:rPr>
                <w:sz w:val="22"/>
                <w:spacing w:val="0"/>
                <w:shd w:fill="FFFFFF" w:val="clear"/>
                <w:sz w:val="22"/>
                <w:szCs w:val="24"/>
                <w:rFonts w:ascii="Times New Roman" w:hAnsi="Times New Roman" w:eastAsia="Calibri" w:cs="Calibri"/>
                <w:color w:val="00000A"/>
                <w:lang w:val="ru-RU" w:eastAsia="zh-CN" w:bidi="hi-IN"/>
              </w:rPr>
            </w:pPr>
            <w:r>
              <w:rPr>
                <w:rFonts w:eastAsia="Calibri" w:cs="Calibri" w:ascii="Times New Roman" w:hAnsi="Times New Roman"/>
                <w:color w:val="00000A"/>
                <w:spacing w:val="0"/>
                <w:sz w:val="22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203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pacing w:lineRule="exact" w:line="276" w:before="0" w:after="200"/>
              <w:ind w:left="0" w:right="0" w:hanging="0"/>
              <w:jc w:val="left"/>
              <w:rPr>
                <w:sz w:val="22"/>
                <w:spacing w:val="0"/>
                <w:shd w:fill="FFFFFF" w:val="clear"/>
                <w:sz w:val="22"/>
                <w:szCs w:val="24"/>
                <w:rFonts w:ascii="Times New Roman" w:hAnsi="Times New Roman" w:eastAsia="Calibri" w:cs="Calibri"/>
                <w:color w:val="00000A"/>
                <w:lang w:val="ru-RU" w:eastAsia="zh-CN" w:bidi="hi-IN"/>
              </w:rPr>
            </w:pPr>
            <w:r>
              <w:rPr>
                <w:rFonts w:eastAsia="Calibri" w:cs="Calibri" w:ascii="Times New Roman" w:hAnsi="Times New Roman"/>
                <w:color w:val="00000A"/>
                <w:spacing w:val="0"/>
                <w:sz w:val="22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Джерела фінансування</w:t>
            </w:r>
            <w:r/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center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2021</w:t>
            </w:r>
            <w:r/>
          </w:p>
        </w:tc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center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20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  <w:lang w:val="uk-UA"/>
              </w:rPr>
              <w:t>22</w:t>
            </w:r>
            <w:r/>
          </w:p>
        </w:tc>
        <w:tc>
          <w:tcPr>
            <w:tcW w:w="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center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202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  <w:lang w:val="uk-UA"/>
              </w:rPr>
              <w:t>3</w:t>
            </w:r>
            <w:r/>
          </w:p>
        </w:tc>
        <w:tc>
          <w:tcPr>
            <w:tcW w:w="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center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-</w:t>
            </w:r>
            <w:r/>
          </w:p>
        </w:tc>
        <w:tc>
          <w:tcPr>
            <w:tcW w:w="34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2"/>
                <w:spacing w:val="0"/>
                <w:shd w:fill="FFFFFF" w:val="clear"/>
                <w:sz w:val="22"/>
                <w:szCs w:val="24"/>
                <w:rFonts w:ascii="Times New Roman" w:hAnsi="Times New Roman" w:eastAsia="Calibri" w:cs="Calibri"/>
                <w:color w:val="00000A"/>
                <w:lang w:val="ru-RU" w:eastAsia="zh-CN" w:bidi="hi-IN"/>
              </w:rPr>
            </w:pPr>
            <w:r>
              <w:rPr>
                <w:rFonts w:eastAsia="Calibri" w:cs="Calibri" w:ascii="Times New Roman" w:hAnsi="Times New Roman"/>
                <w:color w:val="00000A"/>
                <w:spacing w:val="0"/>
                <w:sz w:val="22"/>
                <w:szCs w:val="24"/>
                <w:shd w:fill="FFFFFF" w:val="clear"/>
                <w:lang w:val="ru-RU" w:eastAsia="zh-CN" w:bidi="hi-IN"/>
              </w:rPr>
            </w:r>
            <w:r/>
          </w:p>
        </w:tc>
      </w:tr>
      <w:tr>
        <w:trPr>
          <w:trHeight w:val="1" w:hRule="atLeast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center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1</w:t>
            </w:r>
            <w:r/>
          </w:p>
        </w:tc>
        <w:tc>
          <w:tcPr>
            <w:tcW w:w="2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center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2</w:t>
            </w:r>
            <w:r/>
          </w:p>
        </w:tc>
        <w:tc>
          <w:tcPr>
            <w:tcW w:w="1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center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3</w:t>
            </w:r>
            <w:r/>
          </w:p>
        </w:tc>
        <w:tc>
          <w:tcPr>
            <w:tcW w:w="2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center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4</w:t>
            </w:r>
            <w:r/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center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5</w:t>
            </w:r>
            <w:r/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center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6</w:t>
            </w:r>
            <w:r/>
          </w:p>
        </w:tc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center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7</w:t>
            </w:r>
            <w:r/>
          </w:p>
        </w:tc>
        <w:tc>
          <w:tcPr>
            <w:tcW w:w="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center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8</w:t>
            </w:r>
            <w:r/>
          </w:p>
        </w:tc>
        <w:tc>
          <w:tcPr>
            <w:tcW w:w="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center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9</w:t>
            </w:r>
            <w:r/>
          </w:p>
        </w:tc>
        <w:tc>
          <w:tcPr>
            <w:tcW w:w="34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center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10</w:t>
            </w:r>
            <w:r/>
          </w:p>
        </w:tc>
      </w:tr>
      <w:tr>
        <w:trPr>
          <w:trHeight w:val="1" w:hRule="atLeast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2"/>
                <w:spacing w:val="0"/>
                <w:shd w:fill="FFFFFF" w:val="clear"/>
                <w:sz w:val="22"/>
                <w:szCs w:val="24"/>
                <w:rFonts w:ascii="Times New Roman" w:hAnsi="Times New Roman" w:eastAsia="Calibri" w:cs="Calibri"/>
                <w:color w:val="00000A"/>
                <w:lang w:val="ru-RU" w:eastAsia="zh-CN" w:bidi="hi-IN"/>
              </w:rPr>
            </w:pPr>
            <w:r>
              <w:rPr>
                <w:rFonts w:eastAsia="Calibri" w:cs="Calibri" w:ascii="Times New Roman" w:hAnsi="Times New Roman"/>
                <w:color w:val="00000A"/>
                <w:spacing w:val="0"/>
                <w:sz w:val="22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13379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center"/>
              <w:rPr>
                <w:sz w:val="24"/>
                <w:sz w:val="24"/>
                <w:szCs w:val="24"/>
                <w:rFonts w:ascii="Times New Roman" w:hAnsi="Times New Roman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 w:ascii="Times New Roman" w:hAnsi="Times New Roman"/>
                <w:color w:val="00000A"/>
                <w:sz w:val="24"/>
                <w:szCs w:val="24"/>
                <w:lang w:val="ru-RU" w:eastAsia="zh-CN" w:bidi="hi-IN"/>
              </w:rPr>
            </w:r>
            <w:r/>
          </w:p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center"/>
            </w:pPr>
            <w:r>
              <w:rPr>
                <w:rFonts w:eastAsia="Times New Roman" w:cs="Times New Roman" w:ascii="Times New Roman" w:hAnsi="Times New Roman"/>
                <w:b/>
                <w:color w:val="00000A"/>
                <w:spacing w:val="0"/>
                <w:sz w:val="24"/>
                <w:shd w:fill="FFFFFF" w:val="clear"/>
              </w:rPr>
              <w:t xml:space="preserve">1. Забезпечення </w:t>
            </w:r>
            <w:r>
              <w:rPr>
                <w:rFonts w:eastAsia="Times New Roman" w:cs="Times New Roman" w:ascii="Times New Roman" w:hAnsi="Times New Roman"/>
                <w:b/>
                <w:color w:val="00000A"/>
                <w:spacing w:val="0"/>
                <w:sz w:val="24"/>
                <w:shd w:fill="FFFFFF" w:val="clear"/>
                <w:lang w:val="uk-UA"/>
              </w:rPr>
              <w:t>збереження житла, яке належить дітям</w:t>
            </w:r>
            <w:r>
              <w:rPr>
                <w:rFonts w:eastAsia="Times New Roman" w:cs="Times New Roman" w:ascii="Times New Roman" w:hAnsi="Times New Roman"/>
                <w:b/>
                <w:color w:val="00000A"/>
                <w:spacing w:val="0"/>
                <w:sz w:val="24"/>
                <w:shd w:fill="FFFFFF" w:val="clear"/>
              </w:rPr>
              <w:t xml:space="preserve"> – сир</w:t>
            </w:r>
            <w:r>
              <w:rPr>
                <w:rFonts w:eastAsia="Times New Roman" w:cs="Times New Roman" w:ascii="Times New Roman" w:hAnsi="Times New Roman"/>
                <w:b/>
                <w:color w:val="00000A"/>
                <w:spacing w:val="0"/>
                <w:sz w:val="24"/>
                <w:shd w:fill="FFFFFF" w:val="clear"/>
                <w:lang w:val="uk-UA"/>
              </w:rPr>
              <w:t>отам</w:t>
            </w:r>
            <w:r>
              <w:rPr>
                <w:rFonts w:eastAsia="Times New Roman" w:cs="Times New Roman" w:ascii="Times New Roman" w:hAnsi="Times New Roman"/>
                <w:b/>
                <w:color w:val="00000A"/>
                <w:spacing w:val="0"/>
                <w:sz w:val="24"/>
                <w:shd w:fill="FFFFFF" w:val="clear"/>
              </w:rPr>
              <w:t xml:space="preserve"> та діт</w:t>
            </w:r>
            <w:r>
              <w:rPr>
                <w:rFonts w:eastAsia="Times New Roman" w:cs="Times New Roman" w:ascii="Times New Roman" w:hAnsi="Times New Roman"/>
                <w:b/>
                <w:color w:val="00000A"/>
                <w:spacing w:val="0"/>
                <w:sz w:val="24"/>
                <w:shd w:fill="FFFFFF" w:val="clear"/>
                <w:lang w:val="uk-UA"/>
              </w:rPr>
              <w:t>ям</w:t>
            </w:r>
            <w:r>
              <w:rPr>
                <w:rFonts w:eastAsia="Times New Roman" w:cs="Times New Roman" w:ascii="Times New Roman" w:hAnsi="Times New Roman"/>
                <w:b/>
                <w:color w:val="00000A"/>
                <w:spacing w:val="0"/>
                <w:sz w:val="24"/>
                <w:shd w:fill="FFFFFF" w:val="clear"/>
              </w:rPr>
              <w:t>, позбавлени</w:t>
            </w:r>
            <w:r>
              <w:rPr>
                <w:rFonts w:eastAsia="Times New Roman" w:cs="Times New Roman" w:ascii="Times New Roman" w:hAnsi="Times New Roman"/>
                <w:b/>
                <w:color w:val="00000A"/>
                <w:spacing w:val="0"/>
                <w:sz w:val="24"/>
                <w:shd w:fill="FFFFFF" w:val="clear"/>
                <w:lang w:val="uk-UA"/>
              </w:rPr>
              <w:t>м</w:t>
            </w:r>
            <w:r>
              <w:rPr>
                <w:rFonts w:eastAsia="Times New Roman" w:cs="Times New Roman" w:ascii="Times New Roman" w:hAnsi="Times New Roman"/>
                <w:b/>
                <w:color w:val="00000A"/>
                <w:spacing w:val="0"/>
                <w:sz w:val="24"/>
                <w:shd w:fill="FFFFFF" w:val="clear"/>
              </w:rPr>
              <w:t xml:space="preserve"> батьківського піклування,</w:t>
            </w:r>
            <w:r/>
          </w:p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center"/>
            </w:pPr>
            <w:r>
              <w:rPr>
                <w:rFonts w:eastAsia="Times New Roman" w:cs="Times New Roman" w:ascii="Times New Roman" w:hAnsi="Times New Roman"/>
                <w:b/>
                <w:color w:val="00000A"/>
                <w:spacing w:val="0"/>
                <w:sz w:val="24"/>
                <w:shd w:fill="FFFFFF" w:val="clear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A"/>
                <w:spacing w:val="0"/>
                <w:sz w:val="24"/>
                <w:shd w:fill="FFFFFF" w:val="clear"/>
              </w:rPr>
              <w:t>та особам з їх числа, на праві власності чи користування</w:t>
            </w:r>
            <w:r/>
          </w:p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center"/>
              <w:rPr>
                <w:sz w:val="24"/>
                <w:spacing w:val="0"/>
                <w:b/>
                <w:shd w:fill="FFFFFF" w:val="clear"/>
                <w:sz w:val="24"/>
                <w:b/>
                <w:szCs w:val="24"/>
                <w:rFonts w:ascii="Times New Roman" w:hAnsi="Times New Roman" w:eastAsia="Times New Roman" w:cs="Times New Roman"/>
                <w:color w:val="00000A"/>
                <w:lang w:val="ru-RU" w:eastAsia="zh-CN" w:bidi="hi-IN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A"/>
                <w:spacing w:val="0"/>
                <w:sz w:val="24"/>
                <w:szCs w:val="24"/>
                <w:shd w:fill="FFFFFF" w:val="clear"/>
                <w:lang w:val="ru-RU" w:eastAsia="zh-CN" w:bidi="hi-IN"/>
              </w:rPr>
            </w:r>
            <w:r/>
          </w:p>
        </w:tc>
      </w:tr>
      <w:tr>
        <w:trPr>
          <w:trHeight w:val="1" w:hRule="atLeast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1.1</w:t>
            </w:r>
            <w:r/>
          </w:p>
        </w:tc>
        <w:tc>
          <w:tcPr>
            <w:tcW w:w="2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both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 xml:space="preserve">Проведення первинного обстеження житла, в якому проживала дитина, яка залишилася без батьківського піклування </w:t>
            </w:r>
            <w:r/>
          </w:p>
        </w:tc>
        <w:tc>
          <w:tcPr>
            <w:tcW w:w="1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  <w:lang w:val="uk-UA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остійно</w:t>
            </w:r>
            <w:r/>
          </w:p>
        </w:tc>
        <w:tc>
          <w:tcPr>
            <w:tcW w:w="2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Служба у справах дітей Слов’янської міської ради</w:t>
            </w:r>
            <w:r/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  <w:lang w:val="uk-UA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е потребує фінансування</w:t>
            </w:r>
            <w:r/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2"/>
                <w:spacing w:val="0"/>
                <w:shd w:fill="FFFFFF" w:val="clear"/>
                <w:sz w:val="22"/>
                <w:szCs w:val="24"/>
                <w:rFonts w:ascii="Times New Roman" w:hAnsi="Times New Roman" w:eastAsia="Calibri" w:cs="Calibri"/>
                <w:color w:val="00000A"/>
                <w:lang w:val="ru-RU" w:eastAsia="zh-CN" w:bidi="hi-IN"/>
              </w:rPr>
            </w:pPr>
            <w:r>
              <w:rPr>
                <w:rFonts w:eastAsia="Calibri" w:cs="Calibri" w:ascii="Times New Roman" w:hAnsi="Times New Roman"/>
                <w:color w:val="00000A"/>
                <w:spacing w:val="0"/>
                <w:sz w:val="22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2"/>
                <w:spacing w:val="0"/>
                <w:shd w:fill="FFFFFF" w:val="clear"/>
                <w:sz w:val="22"/>
                <w:szCs w:val="24"/>
                <w:rFonts w:ascii="Times New Roman" w:hAnsi="Times New Roman" w:eastAsia="Calibri" w:cs="Calibri"/>
                <w:color w:val="00000A"/>
                <w:lang w:val="ru-RU" w:eastAsia="zh-CN" w:bidi="hi-IN"/>
              </w:rPr>
            </w:pPr>
            <w:r>
              <w:rPr>
                <w:rFonts w:eastAsia="Calibri" w:cs="Calibri" w:ascii="Times New Roman" w:hAnsi="Times New Roman"/>
                <w:color w:val="00000A"/>
                <w:spacing w:val="0"/>
                <w:sz w:val="22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2"/>
                <w:spacing w:val="0"/>
                <w:shd w:fill="FFFFFF" w:val="clear"/>
                <w:sz w:val="22"/>
                <w:szCs w:val="24"/>
                <w:rFonts w:ascii="Times New Roman" w:hAnsi="Times New Roman" w:eastAsia="Calibri" w:cs="Calibri"/>
                <w:color w:val="00000A"/>
                <w:lang w:val="ru-RU" w:eastAsia="zh-CN" w:bidi="hi-IN"/>
              </w:rPr>
            </w:pPr>
            <w:r>
              <w:rPr>
                <w:rFonts w:eastAsia="Calibri" w:cs="Calibri" w:ascii="Times New Roman" w:hAnsi="Times New Roman"/>
                <w:color w:val="00000A"/>
                <w:spacing w:val="0"/>
                <w:sz w:val="22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2"/>
                <w:spacing w:val="0"/>
                <w:shd w:fill="FFFFFF" w:val="clear"/>
                <w:sz w:val="22"/>
                <w:szCs w:val="24"/>
                <w:rFonts w:ascii="Times New Roman" w:hAnsi="Times New Roman" w:eastAsia="Calibri" w:cs="Calibri"/>
                <w:color w:val="00000A"/>
                <w:lang w:val="ru-RU" w:eastAsia="zh-CN" w:bidi="hi-IN"/>
              </w:rPr>
            </w:pPr>
            <w:r>
              <w:rPr>
                <w:rFonts w:eastAsia="Calibri" w:cs="Calibri" w:ascii="Times New Roman" w:hAnsi="Times New Roman"/>
                <w:color w:val="00000A"/>
                <w:spacing w:val="0"/>
                <w:sz w:val="22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34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both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Запобігання незаконному відчуженню житла, яке належить дітям-сиротам та дітям, позбавленим батьківського піклування, на праві власності (користування)</w:t>
            </w:r>
            <w:r/>
          </w:p>
        </w:tc>
      </w:tr>
      <w:tr>
        <w:trPr>
          <w:trHeight w:val="1" w:hRule="atLeast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1.2</w:t>
            </w:r>
            <w:r/>
          </w:p>
        </w:tc>
        <w:tc>
          <w:tcPr>
            <w:tcW w:w="2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both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Забезпечення своєчасного взяття дітей – сиріт та дітей, позбавлених батьківського піклування, на квартирний облік громадян, які потребують поліпшення житлових умов</w:t>
            </w:r>
            <w:r/>
          </w:p>
        </w:tc>
        <w:tc>
          <w:tcPr>
            <w:tcW w:w="1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  <w:lang w:val="uk-UA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остійно</w:t>
            </w:r>
            <w:r/>
          </w:p>
        </w:tc>
        <w:tc>
          <w:tcPr>
            <w:tcW w:w="2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Служба у справах дітей Слов’янської міської ради, відділ з обліку та розподілу житлової площі Слов’янської міської ради</w:t>
            </w:r>
            <w:r/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  <w:lang w:val="uk-UA"/>
              </w:rPr>
              <w:t>Н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е потребує фінансування</w:t>
            </w:r>
            <w:r/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2"/>
                <w:spacing w:val="0"/>
                <w:shd w:fill="FFFFFF" w:val="clear"/>
                <w:sz w:val="22"/>
                <w:szCs w:val="24"/>
                <w:rFonts w:ascii="Times New Roman" w:hAnsi="Times New Roman" w:eastAsia="Calibri" w:cs="Calibri"/>
                <w:color w:val="00000A"/>
                <w:lang w:val="ru-RU" w:eastAsia="zh-CN" w:bidi="hi-IN"/>
              </w:rPr>
            </w:pPr>
            <w:r>
              <w:rPr>
                <w:rFonts w:eastAsia="Calibri" w:cs="Calibri" w:ascii="Times New Roman" w:hAnsi="Times New Roman"/>
                <w:color w:val="00000A"/>
                <w:spacing w:val="0"/>
                <w:sz w:val="22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2"/>
                <w:spacing w:val="0"/>
                <w:shd w:fill="FFFFFF" w:val="clear"/>
                <w:sz w:val="22"/>
                <w:szCs w:val="24"/>
                <w:rFonts w:ascii="Times New Roman" w:hAnsi="Times New Roman" w:eastAsia="Calibri" w:cs="Calibri"/>
                <w:color w:val="00000A"/>
                <w:lang w:val="ru-RU" w:eastAsia="zh-CN" w:bidi="hi-IN"/>
              </w:rPr>
            </w:pPr>
            <w:r>
              <w:rPr>
                <w:rFonts w:eastAsia="Calibri" w:cs="Calibri" w:ascii="Times New Roman" w:hAnsi="Times New Roman"/>
                <w:color w:val="00000A"/>
                <w:spacing w:val="0"/>
                <w:sz w:val="22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2"/>
                <w:spacing w:val="0"/>
                <w:shd w:fill="FFFFFF" w:val="clear"/>
                <w:sz w:val="22"/>
                <w:szCs w:val="24"/>
                <w:rFonts w:ascii="Times New Roman" w:hAnsi="Times New Roman" w:eastAsia="Calibri" w:cs="Calibri"/>
                <w:color w:val="00000A"/>
                <w:lang w:val="ru-RU" w:eastAsia="zh-CN" w:bidi="hi-IN"/>
              </w:rPr>
            </w:pPr>
            <w:r>
              <w:rPr>
                <w:rFonts w:eastAsia="Calibri" w:cs="Calibri" w:ascii="Times New Roman" w:hAnsi="Times New Roman"/>
                <w:color w:val="00000A"/>
                <w:spacing w:val="0"/>
                <w:sz w:val="22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2"/>
                <w:spacing w:val="0"/>
                <w:shd w:fill="FFFFFF" w:val="clear"/>
                <w:sz w:val="22"/>
                <w:szCs w:val="24"/>
                <w:rFonts w:ascii="Times New Roman" w:hAnsi="Times New Roman" w:eastAsia="Calibri" w:cs="Calibri"/>
                <w:color w:val="00000A"/>
                <w:lang w:val="ru-RU" w:eastAsia="zh-CN" w:bidi="hi-IN"/>
              </w:rPr>
            </w:pPr>
            <w:r>
              <w:rPr>
                <w:rFonts w:eastAsia="Calibri" w:cs="Calibri" w:ascii="Times New Roman" w:hAnsi="Times New Roman"/>
                <w:color w:val="00000A"/>
                <w:spacing w:val="0"/>
                <w:sz w:val="22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34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both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  <w:lang w:val="uk-UA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воєчасне взяття на квартирний облік дітей – сиріт та дітей, позбавлених батьківського піклування, які досягли 16 – річного віку, і потребують поліпшення житлових умов</w:t>
            </w:r>
            <w:r/>
          </w:p>
        </w:tc>
      </w:tr>
      <w:tr>
        <w:trPr>
          <w:trHeight w:val="1" w:hRule="atLeast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1.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  <w:lang w:val="uk-UA"/>
              </w:rPr>
              <w:t>3</w:t>
            </w:r>
            <w:r/>
          </w:p>
        </w:tc>
        <w:tc>
          <w:tcPr>
            <w:tcW w:w="2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both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Прийняття рішень щодо збереження житла, в якому проживала дитина-сирота або дитина, позбавлена батьківського піклування</w:t>
            </w:r>
            <w:r/>
          </w:p>
        </w:tc>
        <w:tc>
          <w:tcPr>
            <w:tcW w:w="1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  <w:lang w:val="uk-UA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остійно</w:t>
            </w:r>
            <w:r/>
          </w:p>
        </w:tc>
        <w:tc>
          <w:tcPr>
            <w:tcW w:w="2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Виконком Слов’янської міської ради, служба у справах дітей Слов’янської міської ради</w:t>
            </w:r>
            <w:r/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Не потребує фінансування</w:t>
            </w:r>
            <w:r/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2"/>
                <w:spacing w:val="0"/>
                <w:shd w:fill="FFFFFF" w:val="clear"/>
                <w:sz w:val="22"/>
                <w:szCs w:val="24"/>
                <w:rFonts w:ascii="Times New Roman" w:hAnsi="Times New Roman" w:eastAsia="Calibri" w:cs="Calibri"/>
                <w:color w:val="00000A"/>
                <w:lang w:val="ru-RU" w:eastAsia="zh-CN" w:bidi="hi-IN"/>
              </w:rPr>
            </w:pPr>
            <w:r>
              <w:rPr>
                <w:rFonts w:eastAsia="Calibri" w:cs="Calibri" w:ascii="Times New Roman" w:hAnsi="Times New Roman"/>
                <w:color w:val="00000A"/>
                <w:spacing w:val="0"/>
                <w:sz w:val="22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2"/>
                <w:spacing w:val="0"/>
                <w:shd w:fill="FFFFFF" w:val="clear"/>
                <w:sz w:val="22"/>
                <w:szCs w:val="24"/>
                <w:rFonts w:ascii="Times New Roman" w:hAnsi="Times New Roman" w:eastAsia="Calibri" w:cs="Calibri"/>
                <w:color w:val="00000A"/>
                <w:lang w:val="ru-RU" w:eastAsia="zh-CN" w:bidi="hi-IN"/>
              </w:rPr>
            </w:pPr>
            <w:r>
              <w:rPr>
                <w:rFonts w:eastAsia="Calibri" w:cs="Calibri" w:ascii="Times New Roman" w:hAnsi="Times New Roman"/>
                <w:color w:val="00000A"/>
                <w:spacing w:val="0"/>
                <w:sz w:val="22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2"/>
                <w:spacing w:val="0"/>
                <w:shd w:fill="FFFFFF" w:val="clear"/>
                <w:sz w:val="22"/>
                <w:szCs w:val="24"/>
                <w:rFonts w:ascii="Times New Roman" w:hAnsi="Times New Roman" w:eastAsia="Calibri" w:cs="Calibri"/>
                <w:color w:val="00000A"/>
                <w:lang w:val="ru-RU" w:eastAsia="zh-CN" w:bidi="hi-IN"/>
              </w:rPr>
            </w:pPr>
            <w:r>
              <w:rPr>
                <w:rFonts w:eastAsia="Calibri" w:cs="Calibri" w:ascii="Times New Roman" w:hAnsi="Times New Roman"/>
                <w:color w:val="00000A"/>
                <w:spacing w:val="0"/>
                <w:sz w:val="22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2"/>
                <w:spacing w:val="0"/>
                <w:shd w:fill="FFFFFF" w:val="clear"/>
                <w:sz w:val="22"/>
                <w:szCs w:val="24"/>
                <w:rFonts w:ascii="Times New Roman" w:hAnsi="Times New Roman" w:eastAsia="Calibri" w:cs="Calibri"/>
                <w:color w:val="00000A"/>
                <w:lang w:val="ru-RU" w:eastAsia="zh-CN" w:bidi="hi-IN"/>
              </w:rPr>
            </w:pPr>
            <w:r>
              <w:rPr>
                <w:rFonts w:eastAsia="Calibri" w:cs="Calibri" w:ascii="Times New Roman" w:hAnsi="Times New Roman"/>
                <w:color w:val="00000A"/>
                <w:spacing w:val="0"/>
                <w:sz w:val="22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34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both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Запобігання незаконному відчуженню житла, яке належить дітям-сиротам та дітям, позбавленим батьківського піклування, на праві власності (користування)</w:t>
            </w:r>
            <w:r/>
          </w:p>
        </w:tc>
      </w:tr>
      <w:tr>
        <w:trPr>
          <w:trHeight w:val="1" w:hRule="atLeast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1.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  <w:lang w:val="uk-UA"/>
              </w:rPr>
              <w:t>4</w:t>
            </w:r>
            <w:r/>
          </w:p>
        </w:tc>
        <w:tc>
          <w:tcPr>
            <w:tcW w:w="2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both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Прийняття рішень щодо призначення опікуна над житлом, право власті на яке має дитина-сирота або дитина, позбавлена батьківського піклування</w:t>
            </w:r>
            <w:r/>
          </w:p>
        </w:tc>
        <w:tc>
          <w:tcPr>
            <w:tcW w:w="1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  <w:lang w:val="uk-UA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остійно</w:t>
            </w:r>
            <w:r/>
          </w:p>
        </w:tc>
        <w:tc>
          <w:tcPr>
            <w:tcW w:w="2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Виконком Слов’янської міської ради, служба у справах дітей Слов’янської міської ради</w:t>
            </w:r>
            <w:r/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Не потребує фінансування</w:t>
            </w:r>
            <w:r/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2"/>
                <w:spacing w:val="0"/>
                <w:shd w:fill="FFFFFF" w:val="clear"/>
                <w:sz w:val="22"/>
                <w:szCs w:val="24"/>
                <w:rFonts w:ascii="Times New Roman" w:hAnsi="Times New Roman" w:eastAsia="Calibri" w:cs="Calibri"/>
                <w:color w:val="00000A"/>
                <w:lang w:val="ru-RU" w:eastAsia="zh-CN" w:bidi="hi-IN"/>
              </w:rPr>
            </w:pPr>
            <w:r>
              <w:rPr>
                <w:rFonts w:eastAsia="Calibri" w:cs="Calibri" w:ascii="Times New Roman" w:hAnsi="Times New Roman"/>
                <w:color w:val="00000A"/>
                <w:spacing w:val="0"/>
                <w:sz w:val="22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2"/>
                <w:spacing w:val="0"/>
                <w:shd w:fill="FFFFFF" w:val="clear"/>
                <w:sz w:val="22"/>
                <w:szCs w:val="24"/>
                <w:rFonts w:ascii="Times New Roman" w:hAnsi="Times New Roman" w:eastAsia="Calibri" w:cs="Calibri"/>
                <w:color w:val="00000A"/>
                <w:lang w:val="ru-RU" w:eastAsia="zh-CN" w:bidi="hi-IN"/>
              </w:rPr>
            </w:pPr>
            <w:r>
              <w:rPr>
                <w:rFonts w:eastAsia="Calibri" w:cs="Calibri" w:ascii="Times New Roman" w:hAnsi="Times New Roman"/>
                <w:color w:val="00000A"/>
                <w:spacing w:val="0"/>
                <w:sz w:val="22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2"/>
                <w:spacing w:val="0"/>
                <w:shd w:fill="FFFFFF" w:val="clear"/>
                <w:sz w:val="22"/>
                <w:szCs w:val="24"/>
                <w:rFonts w:ascii="Times New Roman" w:hAnsi="Times New Roman" w:eastAsia="Calibri" w:cs="Calibri"/>
                <w:color w:val="00000A"/>
                <w:lang w:val="ru-RU" w:eastAsia="zh-CN" w:bidi="hi-IN"/>
              </w:rPr>
            </w:pPr>
            <w:r>
              <w:rPr>
                <w:rFonts w:eastAsia="Calibri" w:cs="Calibri" w:ascii="Times New Roman" w:hAnsi="Times New Roman"/>
                <w:color w:val="00000A"/>
                <w:spacing w:val="0"/>
                <w:sz w:val="22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2"/>
                <w:spacing w:val="0"/>
                <w:shd w:fill="FFFFFF" w:val="clear"/>
                <w:sz w:val="22"/>
                <w:szCs w:val="24"/>
                <w:rFonts w:ascii="Times New Roman" w:hAnsi="Times New Roman" w:eastAsia="Calibri" w:cs="Calibri"/>
                <w:color w:val="00000A"/>
                <w:lang w:val="ru-RU" w:eastAsia="zh-CN" w:bidi="hi-IN"/>
              </w:rPr>
            </w:pPr>
            <w:r>
              <w:rPr>
                <w:rFonts w:eastAsia="Calibri" w:cs="Calibri" w:ascii="Times New Roman" w:hAnsi="Times New Roman"/>
                <w:color w:val="00000A"/>
                <w:spacing w:val="0"/>
                <w:sz w:val="22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34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both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Запобігання незаконному відчуженню житла, яке належить дітям-сиротам та дітям, позбавленим батьківського піклування, на праві власності (користування)</w:t>
            </w:r>
            <w:r/>
          </w:p>
        </w:tc>
      </w:tr>
      <w:tr>
        <w:trPr>
          <w:trHeight w:val="1" w:hRule="atLeast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1.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  <w:lang w:val="uk-UA"/>
              </w:rPr>
              <w:t>5</w:t>
            </w:r>
            <w:r/>
          </w:p>
        </w:tc>
        <w:tc>
          <w:tcPr>
            <w:tcW w:w="2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4"/>
                <w:spacing w:val="0"/>
                <w:shd w:fill="FFFFFF" w:val="clear"/>
                <w:sz w:val="24"/>
                <w:rFonts w:ascii="Times New Roman" w:hAnsi="Times New Roman" w:eastAsia="Times New Roman" w:cs="Times New Roman"/>
                <w:color w:val="00000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Забезпечення ведення персоніфікованого обліку нерухомого майна, яке належить дітям – сиротам та дітям, позбавленим батьківського піклування, на праві власності чи користування,</w:t>
            </w:r>
            <w:r/>
          </w:p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4"/>
                <w:spacing w:val="0"/>
                <w:shd w:fill="FFFFFF" w:val="clear"/>
                <w:sz w:val="24"/>
                <w:rFonts w:ascii="Times New Roman" w:hAnsi="Times New Roman" w:eastAsia="Times New Roman" w:cs="Times New Roman"/>
                <w:color w:val="00000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на паперових носіях та в електронному вигляді;</w:t>
            </w:r>
            <w:r/>
          </w:p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забезпечення внесення даних про житло дітей до єдиної інформаційно-аналітичної системи (ЄІАС) «Діти»</w:t>
            </w:r>
            <w:r/>
          </w:p>
        </w:tc>
        <w:tc>
          <w:tcPr>
            <w:tcW w:w="1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  <w:lang w:val="uk-UA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остійно</w:t>
            </w:r>
            <w:r/>
          </w:p>
        </w:tc>
        <w:tc>
          <w:tcPr>
            <w:tcW w:w="2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Служба у справах дітей Слов’янської міської ради</w:t>
            </w:r>
            <w:r/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4,5</w:t>
            </w:r>
            <w:r/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1,5</w:t>
            </w:r>
            <w:r/>
          </w:p>
        </w:tc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1,5</w:t>
            </w:r>
            <w:r/>
          </w:p>
        </w:tc>
        <w:tc>
          <w:tcPr>
            <w:tcW w:w="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1,5</w:t>
            </w:r>
            <w:r/>
          </w:p>
        </w:tc>
        <w:tc>
          <w:tcPr>
            <w:tcW w:w="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2"/>
                <w:spacing w:val="0"/>
                <w:shd w:fill="FFFFFF" w:val="clear"/>
                <w:sz w:val="22"/>
                <w:szCs w:val="24"/>
                <w:rFonts w:ascii="Times New Roman" w:hAnsi="Times New Roman" w:eastAsia="Calibri" w:cs="Calibri"/>
                <w:color w:val="00000A"/>
                <w:lang w:val="ru-RU" w:eastAsia="zh-CN" w:bidi="hi-IN"/>
              </w:rPr>
            </w:pPr>
            <w:r>
              <w:rPr>
                <w:rFonts w:eastAsia="Calibri" w:cs="Calibri" w:ascii="Times New Roman" w:hAnsi="Times New Roman"/>
                <w:color w:val="00000A"/>
                <w:spacing w:val="0"/>
                <w:sz w:val="22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34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both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Запобігання незаконному відчуженню житла, яке належить дітям-сиротам та дітям, позбавленим батьківського піклування, на праві власності (користування)</w:t>
            </w:r>
            <w:r/>
          </w:p>
        </w:tc>
      </w:tr>
      <w:tr>
        <w:trPr>
          <w:trHeight w:val="1" w:hRule="atLeast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1.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  <w:lang w:val="uk-UA"/>
              </w:rPr>
              <w:t>6</w:t>
            </w:r>
            <w:r/>
          </w:p>
        </w:tc>
        <w:tc>
          <w:tcPr>
            <w:tcW w:w="2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both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Здійснення обстеження житлових приміщень, які належать на праві власності або користування дітям – сиротам, та дітям, позбавленим батьківського піклування, та особам з їх числа, з метою його збереження.</w:t>
            </w:r>
            <w:r/>
          </w:p>
        </w:tc>
        <w:tc>
          <w:tcPr>
            <w:tcW w:w="1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  <w:lang w:val="uk-UA"/>
              </w:rPr>
              <w:t>Щ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орічно</w:t>
            </w:r>
            <w:r/>
          </w:p>
        </w:tc>
        <w:tc>
          <w:tcPr>
            <w:tcW w:w="2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4"/>
                <w:spacing w:val="0"/>
                <w:shd w:fill="FFFFFF" w:val="clear"/>
                <w:sz w:val="24"/>
                <w:rFonts w:ascii="Times New Roman" w:hAnsi="Times New Roman" w:eastAsia="Times New Roman" w:cs="Times New Roman"/>
                <w:color w:val="00000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Служба у справах дітей Слов’янської міської ради (віком від 0 до 18 років);</w:t>
            </w:r>
            <w:r/>
          </w:p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 xml:space="preserve">Слов’янський міський центр соціальних служб </w:t>
            </w: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4"/>
                <w:u w:val="single"/>
                <w:shd w:fill="FFFFFF" w:val="clear"/>
              </w:rPr>
              <w:t>(віком від 18 і старше).</w:t>
            </w:r>
            <w:r/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Не потребує фінансування</w:t>
            </w:r>
            <w:r/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4"/>
                <w:spacing w:val="0"/>
                <w:sz w:val="24"/>
                <w:szCs w:val="24"/>
                <w:rFonts w:ascii="Times New Roman" w:hAnsi="Times New Roman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 w:ascii="Times New Roman" w:hAnsi="Times New Roman"/>
                <w:color w:val="00000A"/>
                <w:spacing w:val="0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4"/>
                <w:spacing w:val="0"/>
                <w:shd w:fill="FFFFFF" w:val="clear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ru-RU" w:eastAsia="zh-CN" w:bidi="hi-IN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 xml:space="preserve"> </w:t>
            </w:r>
            <w:r/>
          </w:p>
        </w:tc>
        <w:tc>
          <w:tcPr>
            <w:tcW w:w="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4"/>
                <w:spacing w:val="0"/>
                <w:shd w:fill="FFFFFF" w:val="clear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ru-RU" w:eastAsia="zh-CN" w:bidi="hi-IN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34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both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Запобігання незаконному відчуженню житла, яке належить дітям-сиротам та дітям, позбавленим батьківського піклування, на праві власності (користування)</w:t>
            </w:r>
            <w:r/>
          </w:p>
        </w:tc>
      </w:tr>
      <w:tr>
        <w:trPr>
          <w:trHeight w:val="1" w:hRule="atLeast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1.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  <w:lang w:val="uk-UA"/>
              </w:rPr>
              <w:t>7</w:t>
            </w:r>
            <w:r/>
          </w:p>
        </w:tc>
        <w:tc>
          <w:tcPr>
            <w:tcW w:w="2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both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Вирішення питання, у разі доцільності, передачі в установленому порядку в оренду житла, яке зберігається за дітьми-сиротами, позбавленими батьківського піклування, у разі якщо у ньому ніхто не проживає</w:t>
            </w:r>
            <w:r/>
          </w:p>
        </w:tc>
        <w:tc>
          <w:tcPr>
            <w:tcW w:w="1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  <w:lang w:val="uk-UA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остійно</w:t>
            </w:r>
            <w:r/>
          </w:p>
        </w:tc>
        <w:tc>
          <w:tcPr>
            <w:tcW w:w="2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Слов’янська міська рада, служба у справах дітей Слов’янської міської ради</w:t>
            </w:r>
            <w:r/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Не потребує фінансування</w:t>
            </w:r>
            <w:r/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2"/>
                <w:spacing w:val="0"/>
                <w:shd w:fill="FFFFFF" w:val="clear"/>
                <w:sz w:val="22"/>
                <w:szCs w:val="24"/>
                <w:rFonts w:ascii="Times New Roman" w:hAnsi="Times New Roman" w:eastAsia="Calibri" w:cs="Calibri"/>
                <w:color w:val="00000A"/>
                <w:lang w:val="ru-RU" w:eastAsia="zh-CN" w:bidi="hi-IN"/>
              </w:rPr>
            </w:pPr>
            <w:r>
              <w:rPr>
                <w:rFonts w:eastAsia="Calibri" w:cs="Calibri" w:ascii="Times New Roman" w:hAnsi="Times New Roman"/>
                <w:color w:val="00000A"/>
                <w:spacing w:val="0"/>
                <w:sz w:val="22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2"/>
                <w:spacing w:val="0"/>
                <w:shd w:fill="FFFFFF" w:val="clear"/>
                <w:sz w:val="22"/>
                <w:szCs w:val="24"/>
                <w:rFonts w:ascii="Times New Roman" w:hAnsi="Times New Roman" w:eastAsia="Calibri" w:cs="Calibri"/>
                <w:color w:val="00000A"/>
                <w:lang w:val="ru-RU" w:eastAsia="zh-CN" w:bidi="hi-IN"/>
              </w:rPr>
            </w:pPr>
            <w:r>
              <w:rPr>
                <w:rFonts w:eastAsia="Calibri" w:cs="Calibri" w:ascii="Times New Roman" w:hAnsi="Times New Roman"/>
                <w:color w:val="00000A"/>
                <w:spacing w:val="0"/>
                <w:sz w:val="22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2"/>
                <w:spacing w:val="0"/>
                <w:shd w:fill="FFFFFF" w:val="clear"/>
                <w:sz w:val="22"/>
                <w:szCs w:val="24"/>
                <w:rFonts w:ascii="Times New Roman" w:hAnsi="Times New Roman" w:eastAsia="Calibri" w:cs="Calibri"/>
                <w:color w:val="00000A"/>
                <w:lang w:val="ru-RU" w:eastAsia="zh-CN" w:bidi="hi-IN"/>
              </w:rPr>
            </w:pPr>
            <w:r>
              <w:rPr>
                <w:rFonts w:eastAsia="Calibri" w:cs="Calibri" w:ascii="Times New Roman" w:hAnsi="Times New Roman"/>
                <w:color w:val="00000A"/>
                <w:spacing w:val="0"/>
                <w:sz w:val="22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2"/>
                <w:spacing w:val="0"/>
                <w:shd w:fill="FFFFFF" w:val="clear"/>
                <w:sz w:val="22"/>
                <w:szCs w:val="24"/>
                <w:rFonts w:ascii="Times New Roman" w:hAnsi="Times New Roman" w:eastAsia="Calibri" w:cs="Calibri"/>
                <w:color w:val="00000A"/>
                <w:lang w:val="ru-RU" w:eastAsia="zh-CN" w:bidi="hi-IN"/>
              </w:rPr>
            </w:pPr>
            <w:r>
              <w:rPr>
                <w:rFonts w:eastAsia="Calibri" w:cs="Calibri" w:ascii="Times New Roman" w:hAnsi="Times New Roman"/>
                <w:color w:val="00000A"/>
                <w:spacing w:val="0"/>
                <w:sz w:val="22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34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both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Передача не менше як 10% житла в оренду, яке зберігається  за дітьми-сиротами та дітьми, позбавленими батьківського піклування, у разі якщо в житлі більше ніхто не проживає</w:t>
            </w:r>
            <w:r/>
          </w:p>
        </w:tc>
      </w:tr>
      <w:tr>
        <w:trPr>
          <w:trHeight w:val="1" w:hRule="atLeast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1.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  <w:lang w:val="uk-UA"/>
              </w:rPr>
              <w:t>8</w:t>
            </w:r>
            <w:r/>
          </w:p>
        </w:tc>
        <w:tc>
          <w:tcPr>
            <w:tcW w:w="2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both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Проведення роз’яснювальної роботи серед опікунів, піклувальників, прийомних батьків, батьків - вихователів, стосовно дотримання вимог законодавства в частині захисту житлових прав дітей – сиріт та дітей, позбавлених батьківського піклування, які перебувають у них на вихованні</w:t>
            </w:r>
            <w:r/>
          </w:p>
        </w:tc>
        <w:tc>
          <w:tcPr>
            <w:tcW w:w="1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  <w:lang w:val="uk-UA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остійно</w:t>
            </w:r>
            <w:r/>
          </w:p>
        </w:tc>
        <w:tc>
          <w:tcPr>
            <w:tcW w:w="2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 xml:space="preserve">Служба у справах дітей Слов’янської міської ради, Слов’янський міський центр соціальних служб  </w:t>
            </w:r>
            <w:r/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Не потребує фінансування</w:t>
            </w:r>
            <w:r/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 xml:space="preserve"> </w:t>
            </w:r>
            <w:r/>
          </w:p>
        </w:tc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 xml:space="preserve"> </w:t>
            </w:r>
            <w:r/>
          </w:p>
        </w:tc>
        <w:tc>
          <w:tcPr>
            <w:tcW w:w="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 xml:space="preserve"> </w:t>
            </w:r>
            <w:r/>
          </w:p>
        </w:tc>
        <w:tc>
          <w:tcPr>
            <w:tcW w:w="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-</w:t>
            </w:r>
            <w:r/>
          </w:p>
        </w:tc>
        <w:tc>
          <w:tcPr>
            <w:tcW w:w="34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both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  <w:lang w:val="uk-UA"/>
              </w:rPr>
              <w:t>Правова обізнаність законних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 xml:space="preserve"> представників дітей – сиріт та дітей, позбавлених батьківського піклування, щодо захисту майнових та житлових прав їх підопічних, прийомних дітей, дітей - вихованців</w:t>
            </w:r>
            <w:r/>
          </w:p>
        </w:tc>
      </w:tr>
      <w:tr>
        <w:trPr>
          <w:trHeight w:val="1" w:hRule="atLeast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1.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  <w:lang w:val="uk-UA"/>
              </w:rPr>
              <w:t>9</w:t>
            </w:r>
            <w:r/>
          </w:p>
        </w:tc>
        <w:tc>
          <w:tcPr>
            <w:tcW w:w="2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both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Забезпечення висвітлення у засобах масової інформації проблемних питань  та прикладів позитивного досвіду по захисту житлових та майнових прав дітей-сиріт та дітей, позбавлених батьківського піклування, та осіб з їх числа</w:t>
            </w:r>
            <w:r/>
          </w:p>
        </w:tc>
        <w:tc>
          <w:tcPr>
            <w:tcW w:w="1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 xml:space="preserve">Постійно </w:t>
            </w:r>
            <w:r/>
          </w:p>
        </w:tc>
        <w:tc>
          <w:tcPr>
            <w:tcW w:w="2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 xml:space="preserve">Служба у справах дітей Слов’янської міської ради  </w:t>
            </w:r>
            <w:r/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Не потребує фінансування</w:t>
            </w:r>
            <w:r/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-</w:t>
            </w:r>
            <w:r/>
          </w:p>
        </w:tc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-</w:t>
            </w:r>
            <w:r/>
          </w:p>
        </w:tc>
        <w:tc>
          <w:tcPr>
            <w:tcW w:w="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 xml:space="preserve"> </w:t>
            </w:r>
            <w:r/>
          </w:p>
        </w:tc>
        <w:tc>
          <w:tcPr>
            <w:tcW w:w="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2"/>
                <w:spacing w:val="0"/>
                <w:shd w:fill="FFFFFF" w:val="clear"/>
                <w:sz w:val="22"/>
                <w:szCs w:val="24"/>
                <w:rFonts w:ascii="Times New Roman" w:hAnsi="Times New Roman" w:eastAsia="Calibri" w:cs="Calibri"/>
                <w:color w:val="00000A"/>
                <w:lang w:val="ru-RU" w:eastAsia="zh-CN" w:bidi="hi-IN"/>
              </w:rPr>
            </w:pPr>
            <w:r>
              <w:rPr>
                <w:rFonts w:eastAsia="Calibri" w:cs="Calibri" w:ascii="Times New Roman" w:hAnsi="Times New Roman"/>
                <w:color w:val="00000A"/>
                <w:spacing w:val="0"/>
                <w:sz w:val="22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34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Поліпшення забезпечення захисту житлових прав дітей-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  <w:lang w:val="uk-UA"/>
              </w:rPr>
              <w:t>сиріт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 xml:space="preserve"> та дітей, позбавлених батьківського піклування</w:t>
            </w:r>
            <w:r/>
          </w:p>
        </w:tc>
      </w:tr>
      <w:tr>
        <w:trPr>
          <w:trHeight w:val="1" w:hRule="atLeast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1.1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  <w:lang w:val="uk-UA"/>
              </w:rPr>
              <w:t>0</w:t>
            </w:r>
            <w:r/>
          </w:p>
        </w:tc>
        <w:tc>
          <w:tcPr>
            <w:tcW w:w="2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Проведення інформаційної  та роз’яснювальної роботи з особами із числа дітей-сиріт та дітей, позбавлених батьківського піклування, які навчаються в навчальних закладах, відносно своїх прав щодо забезпечення житлом, шляхів вирішення житлових проблем</w:t>
            </w:r>
            <w:r/>
          </w:p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4"/>
                <w:spacing w:val="0"/>
                <w:shd w:fill="FFFFFF" w:val="clear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ru-RU" w:eastAsia="zh-CN" w:bidi="hi-IN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1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 xml:space="preserve">Постійно </w:t>
            </w:r>
            <w:r/>
          </w:p>
        </w:tc>
        <w:tc>
          <w:tcPr>
            <w:tcW w:w="2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 xml:space="preserve">Слов’янський міський центр соціальних служб  </w:t>
            </w:r>
            <w:r/>
          </w:p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4"/>
                <w:spacing w:val="0"/>
                <w:sz w:val="24"/>
                <w:szCs w:val="24"/>
                <w:rFonts w:ascii="Times New Roman" w:hAnsi="Times New Roman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 w:ascii="Times New Roman" w:hAnsi="Times New Roman"/>
                <w:color w:val="00000A"/>
                <w:spacing w:val="0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Не потребує фінансування</w:t>
            </w:r>
            <w:r/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2"/>
                <w:spacing w:val="0"/>
                <w:shd w:fill="FFFFFF" w:val="clear"/>
                <w:sz w:val="22"/>
                <w:szCs w:val="24"/>
                <w:rFonts w:ascii="Times New Roman" w:hAnsi="Times New Roman" w:eastAsia="Calibri" w:cs="Calibri"/>
                <w:color w:val="00000A"/>
                <w:lang w:val="ru-RU" w:eastAsia="zh-CN" w:bidi="hi-IN"/>
              </w:rPr>
            </w:pPr>
            <w:r>
              <w:rPr>
                <w:rFonts w:eastAsia="Calibri" w:cs="Calibri" w:ascii="Times New Roman" w:hAnsi="Times New Roman"/>
                <w:color w:val="00000A"/>
                <w:spacing w:val="0"/>
                <w:sz w:val="22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4"/>
                <w:spacing w:val="0"/>
                <w:sz w:val="24"/>
                <w:szCs w:val="24"/>
                <w:rFonts w:ascii="Times New Roman" w:hAnsi="Times New Roman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 w:ascii="Times New Roman" w:hAnsi="Times New Roman"/>
                <w:color w:val="00000A"/>
                <w:spacing w:val="0"/>
                <w:sz w:val="24"/>
                <w:szCs w:val="24"/>
                <w:lang w:val="ru-RU" w:eastAsia="zh-CN" w:bidi="hi-IN"/>
              </w:rPr>
            </w:r>
            <w:r/>
          </w:p>
        </w:tc>
        <w:tc>
          <w:tcPr>
            <w:tcW w:w="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-</w:t>
            </w:r>
            <w:r/>
          </w:p>
        </w:tc>
        <w:tc>
          <w:tcPr>
            <w:tcW w:w="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-</w:t>
            </w:r>
            <w:r/>
          </w:p>
        </w:tc>
        <w:tc>
          <w:tcPr>
            <w:tcW w:w="34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Забезпечення правової обізнаності дітей-сиріт та дітей, позбавлених батьківського піклування, та осіб з їх числа</w:t>
            </w:r>
            <w:r/>
          </w:p>
        </w:tc>
      </w:tr>
      <w:tr>
        <w:trPr>
          <w:trHeight w:val="1" w:hRule="atLeast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uk-UA" w:eastAsia="zh-CN" w:bidi="hi-IN"/>
              </w:rPr>
            </w:pPr>
            <w:r>
              <w:rPr>
                <w:rFonts w:ascii="Times New Roman" w:hAnsi="Times New Roman"/>
                <w:lang w:val="uk-UA"/>
              </w:rPr>
              <w:t>1.11</w:t>
            </w:r>
            <w:r/>
          </w:p>
        </w:tc>
        <w:tc>
          <w:tcPr>
            <w:tcW w:w="2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both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</w:rPr>
              <w:t>Проведення поточного або капітального ремонту житла, яке належить дітям - сиротам та дітям, позбавленним батьківського піклування, особам з їх числа, на час повернення їх до місця постійного проживання або житла, яке надається відповідно до законодавства України</w:t>
            </w:r>
            <w:r>
              <w:rPr>
                <w:rFonts w:eastAsia="Times New Roman" w:cs="Times New Roman" w:ascii="Times New Roman" w:hAnsi="Times New Roman"/>
                <w:b/>
                <w:color w:val="00000A"/>
                <w:spacing w:val="0"/>
                <w:sz w:val="24"/>
                <w:szCs w:val="24"/>
                <w:shd w:fill="FFFFFF" w:val="clear"/>
              </w:rPr>
              <w:t xml:space="preserve">                     </w:t>
            </w:r>
            <w:r/>
          </w:p>
        </w:tc>
        <w:tc>
          <w:tcPr>
            <w:tcW w:w="1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Calibri" w:cs="Calibri" w:ascii="Times New Roman" w:hAnsi="Times New Roman"/>
                <w:color w:val="00000A"/>
                <w:spacing w:val="0"/>
                <w:sz w:val="24"/>
                <w:szCs w:val="24"/>
                <w:shd w:fill="FFFFFF" w:val="clear"/>
              </w:rPr>
              <w:t>Постійно</w:t>
            </w:r>
            <w:r/>
          </w:p>
        </w:tc>
        <w:tc>
          <w:tcPr>
            <w:tcW w:w="2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</w:rPr>
              <w:t xml:space="preserve">Слов’янська міська рада, Управління 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  <w:lang w:val="uk-UA"/>
              </w:rPr>
              <w:t>житлово-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</w:rPr>
              <w:t>комунально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  <w:lang w:val="uk-UA"/>
              </w:rPr>
              <w:t>го господарства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</w:rPr>
              <w:t xml:space="preserve"> Слов’янської міської ради, служба у справах дітей Слов’янської міської ради, відділ з обліку та розподілу житлової площі Слов’янської місько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  <w:lang w:val="uk-UA"/>
              </w:rPr>
              <w:t>ї ради</w:t>
            </w:r>
            <w:r/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both"/>
            </w:pPr>
            <w:r>
              <w:rPr>
                <w:rFonts w:eastAsia="Calibri" w:cs="Calibri" w:ascii="Times New Roman" w:hAnsi="Times New Roman"/>
                <w:color w:val="00000A"/>
                <w:spacing w:val="0"/>
                <w:sz w:val="24"/>
                <w:szCs w:val="24"/>
                <w:shd w:fill="FFFFFF" w:val="clear"/>
                <w:lang w:val="uk-UA"/>
              </w:rPr>
              <w:t xml:space="preserve"> </w:t>
            </w:r>
            <w:r>
              <w:rPr>
                <w:rFonts w:eastAsia="Calibri" w:cs="Calibri" w:ascii="Times New Roman" w:hAnsi="Times New Roman"/>
                <w:color w:val="00000A"/>
                <w:spacing w:val="0"/>
                <w:sz w:val="24"/>
                <w:szCs w:val="24"/>
                <w:shd w:fill="FFFFFF" w:val="clear"/>
                <w:lang w:val="uk-UA"/>
              </w:rPr>
              <w:t>45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  <w:lang w:val="uk-UA"/>
              </w:rPr>
              <w:t>0,00</w:t>
            </w:r>
            <w:r/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bookmarkStart w:id="1" w:name="__DdeLink__648_663060543"/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  <w:lang w:val="uk-UA"/>
              </w:rPr>
              <w:t>1</w:t>
            </w:r>
            <w:bookmarkEnd w:id="1"/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  <w:lang w:val="uk-UA"/>
              </w:rPr>
              <w:t>5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</w:rPr>
              <w:t>0,00</w:t>
            </w:r>
            <w:r/>
          </w:p>
        </w:tc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  <w:lang w:val="uk-UA"/>
              </w:rPr>
              <w:t>15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</w:rPr>
              <w:t>0,00</w:t>
            </w:r>
            <w:r/>
          </w:p>
        </w:tc>
        <w:tc>
          <w:tcPr>
            <w:tcW w:w="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  <w:lang w:val="uk-UA"/>
              </w:rPr>
              <w:t>15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</w:rPr>
              <w:t>0,00</w:t>
            </w:r>
            <w:r/>
          </w:p>
        </w:tc>
        <w:tc>
          <w:tcPr>
            <w:tcW w:w="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center"/>
              <w:rPr>
                <w:sz w:val="24"/>
                <w:spacing w:val="0"/>
                <w:shd w:fill="FFFFFF" w:val="clear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ru-RU" w:eastAsia="zh-CN" w:bidi="hi-IN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34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  <w:lang w:val="uk-UA"/>
              </w:rPr>
              <w:t>Забезпечення належних умов проживання дітей-сиріт та дітей, позбавлених батьківського піклування, та осіб з їх числа після повернення їх до постійногот місцяивання</w:t>
            </w:r>
            <w:r/>
          </w:p>
        </w:tc>
      </w:tr>
      <w:tr>
        <w:trPr>
          <w:trHeight w:val="1" w:hRule="atLeast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2"/>
                <w:spacing w:val="0"/>
                <w:shd w:fill="FFFFFF" w:val="clear"/>
                <w:sz w:val="22"/>
                <w:szCs w:val="24"/>
                <w:rFonts w:ascii="Times New Roman" w:hAnsi="Times New Roman" w:eastAsia="Calibri" w:cs="Calibri"/>
                <w:color w:val="00000A"/>
                <w:lang w:val="ru-RU" w:eastAsia="zh-CN" w:bidi="hi-IN"/>
              </w:rPr>
            </w:pPr>
            <w:r>
              <w:rPr>
                <w:rFonts w:eastAsia="Calibri" w:cs="Calibri" w:ascii="Times New Roman" w:hAnsi="Times New Roman"/>
                <w:color w:val="00000A"/>
                <w:spacing w:val="0"/>
                <w:sz w:val="22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13379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center"/>
            </w:pPr>
            <w:r>
              <w:rPr>
                <w:rFonts w:eastAsia="Times New Roman" w:cs="Times New Roman" w:ascii="Times New Roman" w:hAnsi="Times New Roman"/>
                <w:b/>
                <w:color w:val="00000A"/>
                <w:spacing w:val="0"/>
                <w:sz w:val="24"/>
                <w:shd w:fill="FFFFFF" w:val="clear"/>
              </w:rPr>
              <w:t>2. Забезпечення житлом дітей – сиріт та дітей, позбавлених батьківського піклування, та осіб з їх числа</w:t>
            </w:r>
            <w:r/>
          </w:p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center"/>
            </w:pPr>
            <w:r>
              <w:rPr>
                <w:rFonts w:eastAsia="Times New Roman" w:cs="Times New Roman" w:ascii="Times New Roman" w:hAnsi="Times New Roman"/>
                <w:b/>
                <w:color w:val="00000A"/>
                <w:spacing w:val="0"/>
                <w:sz w:val="24"/>
                <w:shd w:fill="FFFFFF" w:val="clear"/>
              </w:rPr>
              <w:t xml:space="preserve">    </w:t>
            </w:r>
            <w:r/>
          </w:p>
        </w:tc>
      </w:tr>
      <w:tr>
        <w:trPr>
          <w:trHeight w:val="1" w:hRule="atLeast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2.1</w:t>
            </w:r>
            <w:r/>
          </w:p>
        </w:tc>
        <w:tc>
          <w:tcPr>
            <w:tcW w:w="2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Здійснення аналізу потреби у житлі для дітей-сиріт та дітей, позбавлених батьківського піклування</w:t>
            </w:r>
            <w:r/>
          </w:p>
        </w:tc>
        <w:tc>
          <w:tcPr>
            <w:tcW w:w="1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  <w:lang w:val="uk-UA"/>
              </w:rPr>
              <w:t>Щ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орічно</w:t>
            </w:r>
            <w:r/>
          </w:p>
        </w:tc>
        <w:tc>
          <w:tcPr>
            <w:tcW w:w="2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Служба у справах дітей Слов’янської міської ради,  відділ з обліку та розподілу житлової площі Слов’янської міської ради</w:t>
            </w:r>
            <w:r/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Не потребує фінансування</w:t>
            </w:r>
            <w:r/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2"/>
                <w:spacing w:val="0"/>
                <w:shd w:fill="FFFFFF" w:val="clear"/>
                <w:sz w:val="22"/>
                <w:szCs w:val="24"/>
                <w:rFonts w:ascii="Times New Roman" w:hAnsi="Times New Roman" w:eastAsia="Calibri" w:cs="Calibri"/>
                <w:color w:val="00000A"/>
                <w:lang w:val="ru-RU" w:eastAsia="zh-CN" w:bidi="hi-IN"/>
              </w:rPr>
            </w:pPr>
            <w:r>
              <w:rPr>
                <w:rFonts w:eastAsia="Calibri" w:cs="Calibri" w:ascii="Times New Roman" w:hAnsi="Times New Roman"/>
                <w:color w:val="00000A"/>
                <w:spacing w:val="0"/>
                <w:sz w:val="22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2"/>
                <w:spacing w:val="0"/>
                <w:shd w:fill="FFFFFF" w:val="clear"/>
                <w:sz w:val="22"/>
                <w:szCs w:val="24"/>
                <w:rFonts w:ascii="Times New Roman" w:hAnsi="Times New Roman" w:eastAsia="Calibri" w:cs="Calibri"/>
                <w:color w:val="00000A"/>
                <w:lang w:val="ru-RU" w:eastAsia="zh-CN" w:bidi="hi-IN"/>
              </w:rPr>
            </w:pPr>
            <w:r>
              <w:rPr>
                <w:rFonts w:eastAsia="Calibri" w:cs="Calibri" w:ascii="Times New Roman" w:hAnsi="Times New Roman"/>
                <w:color w:val="00000A"/>
                <w:spacing w:val="0"/>
                <w:sz w:val="22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2"/>
                <w:spacing w:val="0"/>
                <w:shd w:fill="FFFFFF" w:val="clear"/>
                <w:sz w:val="22"/>
                <w:szCs w:val="24"/>
                <w:rFonts w:ascii="Times New Roman" w:hAnsi="Times New Roman" w:eastAsia="Calibri" w:cs="Calibri"/>
                <w:color w:val="00000A"/>
                <w:lang w:val="ru-RU" w:eastAsia="zh-CN" w:bidi="hi-IN"/>
              </w:rPr>
            </w:pPr>
            <w:r>
              <w:rPr>
                <w:rFonts w:eastAsia="Calibri" w:cs="Calibri" w:ascii="Times New Roman" w:hAnsi="Times New Roman"/>
                <w:color w:val="00000A"/>
                <w:spacing w:val="0"/>
                <w:sz w:val="22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-</w:t>
            </w:r>
            <w:r/>
          </w:p>
        </w:tc>
        <w:tc>
          <w:tcPr>
            <w:tcW w:w="34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Поліпшення забезпечення захисту житлових прав дітей- сиріт та дітей, позбавлених батьківського піклування</w:t>
            </w:r>
            <w:r/>
          </w:p>
        </w:tc>
      </w:tr>
      <w:tr>
        <w:trPr>
          <w:trHeight w:val="1" w:hRule="atLeast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2.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  <w:lang w:val="uk-UA"/>
              </w:rPr>
              <w:t>2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 xml:space="preserve"> </w:t>
            </w:r>
            <w:r/>
          </w:p>
        </w:tc>
        <w:tc>
          <w:tcPr>
            <w:tcW w:w="2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</w:rPr>
              <w:t xml:space="preserve">Забезпечення дітей-сиріт та дітей, позбавлених батьківського піклування, осіб з їх числа, у тому числі віком 23 роки і старших, які перебувають на обліку громадян, які потребують поліпшення житлових умов, житлом для постійного проживання шляхом 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  <w:lang w:val="uk-UA"/>
              </w:rPr>
              <w:t>надання з житлового фонду місцевої ради</w:t>
            </w:r>
            <w:r/>
          </w:p>
        </w:tc>
        <w:tc>
          <w:tcPr>
            <w:tcW w:w="1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  <w:lang w:val="uk-UA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</w:rPr>
              <w:t>остійно</w:t>
            </w:r>
            <w:r/>
          </w:p>
        </w:tc>
        <w:tc>
          <w:tcPr>
            <w:tcW w:w="2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</w:rPr>
              <w:t>Слов’янська міська рада, Фінансове управління Слов'янської міської ради, Управління комунальної власності Слов’янської міської ради, служба у справах дітей Слов’янської міської ради, відділ з обліку та розподілу житлової площі Слов’янської місько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  <w:lang w:val="uk-UA"/>
              </w:rPr>
              <w:t>ї ради</w:t>
            </w:r>
            <w:r/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  <w:lang w:val="ru-RU" w:eastAsia="zh-CN" w:bidi="hi-IN"/>
              </w:rPr>
              <w:t>Не потребує фінансування</w:t>
            </w:r>
            <w:r/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4"/>
                <w:spacing w:val="0"/>
                <w:shd w:fill="FFFFFF" w:val="clear"/>
                <w:sz w:val="24"/>
                <w:szCs w:val="24"/>
                <w:rFonts w:ascii="Times New Roman" w:hAnsi="Times New Roman" w:eastAsia="Calibri" w:cs="Calibri"/>
                <w:color w:val="00000A"/>
                <w:lang w:val="ru-RU" w:eastAsia="zh-CN" w:bidi="hi-IN"/>
              </w:rPr>
            </w:pPr>
            <w:r>
              <w:rPr>
                <w:rFonts w:eastAsia="Calibri" w:cs="Calibri" w:ascii="Times New Roman" w:hAnsi="Times New Roman"/>
                <w:color w:val="00000A"/>
                <w:spacing w:val="0"/>
                <w:sz w:val="24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4"/>
                <w:spacing w:val="0"/>
                <w:shd w:fill="FFFFFF" w:val="clear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ru-RU" w:eastAsia="zh-CN" w:bidi="hi-IN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4"/>
                <w:spacing w:val="0"/>
                <w:shd w:fill="FFFFFF" w:val="clear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ru-RU" w:eastAsia="zh-CN" w:bidi="hi-IN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</w:rPr>
              <w:t>-</w:t>
            </w:r>
            <w:r/>
          </w:p>
        </w:tc>
        <w:tc>
          <w:tcPr>
            <w:tcW w:w="34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  <w:lang w:val="uk-UA"/>
              </w:rPr>
              <w:t>Збільшення кількості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</w:rPr>
              <w:t xml:space="preserve"> дітей-сиріт та дітей, позбавлених батьківського піклування та осіб з їх числа, які потребують поліпшення житлових умов, і перебувають на квартирному обліку,  впорядкованим житлом для постійного проживання шляхом 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  <w:lang w:val="uk-UA"/>
              </w:rPr>
              <w:t>надання з житлового фонду місцевої ради</w:t>
            </w:r>
            <w:r/>
          </w:p>
        </w:tc>
      </w:tr>
      <w:tr>
        <w:trPr>
          <w:trHeight w:val="1" w:hRule="atLeast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uk-UA" w:eastAsia="zh-CN" w:bidi="hi-IN"/>
              </w:rPr>
            </w:pPr>
            <w:r>
              <w:rPr>
                <w:rFonts w:ascii="Times New Roman" w:hAnsi="Times New Roman"/>
                <w:lang w:val="uk-UA"/>
              </w:rPr>
              <w:t>2.3</w:t>
            </w:r>
            <w:r/>
          </w:p>
        </w:tc>
        <w:tc>
          <w:tcPr>
            <w:tcW w:w="2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</w:rPr>
              <w:t>Забезпечення дітей-сиріт та дітей, позбавлених батьківського піклування, осіб з їх числа, у тому числі віком 23 роки і старших, які перебувають на обліку громадян, які потребують поліпшення житлових умов, житлом для постійного проживання шляхом придбання житла на вторинному ринку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  <w:lang w:val="uk-UA"/>
              </w:rPr>
              <w:t xml:space="preserve"> </w:t>
            </w:r>
            <w:r/>
          </w:p>
        </w:tc>
        <w:tc>
          <w:tcPr>
            <w:tcW w:w="1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  <w:lang w:val="uk-UA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</w:rPr>
              <w:t>остійно</w:t>
            </w:r>
            <w:r/>
          </w:p>
        </w:tc>
        <w:tc>
          <w:tcPr>
            <w:tcW w:w="2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</w:rPr>
              <w:t>Слов’янська міська рада, Фінансове управління Слов'янської міської ради, Управління комунальної власності Слов’янської міської ради, служба у справах дітей Слов’янської міської ради, відділ з обліку та розподілу житлової площі Слов’янської місько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  <w:lang w:val="uk-UA"/>
              </w:rPr>
              <w:t>ї ради</w:t>
            </w:r>
            <w:r/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4"/>
                <w:spacing w:val="0"/>
                <w:shd w:fill="FFFFFF" w:val="clear"/>
                <w:sz w:val="24"/>
                <w:szCs w:val="24"/>
                <w:rFonts w:ascii="Times New Roman" w:hAnsi="Times New Roman" w:eastAsia="Calibri" w:cs="Calibri"/>
                <w:color w:val="00000A"/>
                <w:lang w:val="ru-RU" w:eastAsia="zh-CN" w:bidi="hi-IN"/>
              </w:rPr>
            </w:pPr>
            <w:r>
              <w:rPr>
                <w:rFonts w:eastAsia="Calibri" w:cs="Calibri" w:ascii="Times New Roman" w:hAnsi="Times New Roman"/>
                <w:color w:val="00000A"/>
                <w:spacing w:val="0"/>
                <w:sz w:val="24"/>
                <w:szCs w:val="24"/>
                <w:shd w:fill="FFFFFF" w:val="clear"/>
                <w:lang w:val="ru-RU" w:eastAsia="zh-CN" w:bidi="hi-IN"/>
              </w:rPr>
              <w:t>За наявності фінансування</w:t>
            </w:r>
            <w:r/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4"/>
                <w:spacing w:val="0"/>
                <w:shd w:fill="FFFFFF" w:val="clear"/>
                <w:sz w:val="24"/>
                <w:szCs w:val="24"/>
                <w:rFonts w:ascii="Times New Roman" w:hAnsi="Times New Roman" w:eastAsia="Calibri" w:cs="Calibri"/>
                <w:color w:val="00000A"/>
                <w:lang w:val="ru-RU" w:eastAsia="zh-CN" w:bidi="hi-IN"/>
              </w:rPr>
            </w:pPr>
            <w:r>
              <w:rPr>
                <w:rFonts w:eastAsia="Calibri" w:cs="Calibri" w:ascii="Times New Roman" w:hAnsi="Times New Roman"/>
                <w:color w:val="00000A"/>
                <w:spacing w:val="0"/>
                <w:sz w:val="24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4"/>
                <w:spacing w:val="0"/>
                <w:shd w:fill="FFFFFF" w:val="clear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ru-RU" w:eastAsia="zh-CN" w:bidi="hi-IN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4"/>
                <w:spacing w:val="0"/>
                <w:shd w:fill="FFFFFF" w:val="clear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ru-RU" w:eastAsia="zh-CN" w:bidi="hi-IN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</w:rPr>
              <w:t>-</w:t>
            </w:r>
            <w:r/>
          </w:p>
        </w:tc>
        <w:tc>
          <w:tcPr>
            <w:tcW w:w="34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  <w:lang w:val="uk-UA"/>
              </w:rPr>
              <w:t xml:space="preserve">Збільшення кількості 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</w:rPr>
              <w:t xml:space="preserve">дітей-сиріт та дітей, позбавлених батьківського піклування та осіб з їх числа, які потребують поліпшення житлових умов, і перебувають на квартирному обліку,  впорядкованим житлом для постійного проживання шляхом 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  <w:lang w:val="uk-UA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</w:rPr>
              <w:t>ридбання житла на вторинному ринку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  <w:lang w:val="uk-UA"/>
              </w:rPr>
              <w:t xml:space="preserve"> </w:t>
            </w:r>
            <w:r/>
          </w:p>
        </w:tc>
      </w:tr>
      <w:tr>
        <w:trPr>
          <w:trHeight w:val="1" w:hRule="atLeast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2.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  <w:lang w:val="uk-UA"/>
              </w:rPr>
              <w:t>4</w:t>
            </w:r>
            <w:r/>
          </w:p>
        </w:tc>
        <w:tc>
          <w:tcPr>
            <w:tcW w:w="28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 xml:space="preserve">Забезпечення житлом дітей-сиріт та дітей, позбавлених батьківського піклування, осіб з їх числа, 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  <w:lang w:val="uk-UA"/>
              </w:rPr>
              <w:t xml:space="preserve">у тому числі віком 23 роки і старших, 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впорядкованим житлом для постійного проживання шляхом придбання житла на вторинному ринку на умовах співфінансування (50/50)</w:t>
            </w:r>
            <w:r/>
          </w:p>
        </w:tc>
        <w:tc>
          <w:tcPr>
            <w:tcW w:w="1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pacing w:val="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Постійно</w:t>
            </w:r>
            <w:r/>
          </w:p>
        </w:tc>
        <w:tc>
          <w:tcPr>
            <w:tcW w:w="2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Слов’янська міська рада, служба у справах дітей Слов’янської міської ради, відділ з обліку та розподілу житлової площі Слов’янської міської ради, Фінансове управління Слов'янської міської ради, Управління комунальної власності Слов’янської міської ради</w:t>
            </w:r>
            <w:r/>
          </w:p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4"/>
                <w:spacing w:val="0"/>
                <w:shd w:fill="FFFFFF" w:val="clear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ru-RU" w:eastAsia="zh-CN" w:bidi="hi-IN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  <w:lang w:val="uk-UA"/>
              </w:rPr>
              <w:t>22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50,00</w:t>
            </w:r>
            <w:r/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  <w:lang w:val="uk-UA"/>
              </w:rPr>
              <w:t>7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50,00</w:t>
            </w:r>
            <w:r/>
          </w:p>
        </w:tc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  <w:lang w:val="uk-UA"/>
              </w:rPr>
              <w:t>7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50,00</w:t>
            </w:r>
            <w:r/>
          </w:p>
        </w:tc>
        <w:tc>
          <w:tcPr>
            <w:tcW w:w="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  <w:lang w:val="uk-UA"/>
              </w:rPr>
              <w:t>7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>50,00</w:t>
            </w:r>
            <w:r/>
          </w:p>
        </w:tc>
        <w:tc>
          <w:tcPr>
            <w:tcW w:w="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  <w:rPr>
                <w:sz w:val="22"/>
                <w:spacing w:val="0"/>
                <w:shd w:fill="FFFFFF" w:val="clear"/>
                <w:sz w:val="22"/>
                <w:szCs w:val="24"/>
                <w:rFonts w:ascii="Times New Roman" w:hAnsi="Times New Roman" w:eastAsia="Calibri" w:cs="Calibri"/>
                <w:color w:val="00000A"/>
                <w:lang w:val="ru-RU" w:eastAsia="zh-CN" w:bidi="hi-IN"/>
              </w:rPr>
            </w:pPr>
            <w:r>
              <w:rPr>
                <w:rFonts w:eastAsia="Calibri" w:cs="Calibri" w:ascii="Times New Roman" w:hAnsi="Times New Roman"/>
                <w:color w:val="00000A"/>
                <w:spacing w:val="0"/>
                <w:sz w:val="22"/>
                <w:szCs w:val="24"/>
                <w:shd w:fill="FFFFFF" w:val="clear"/>
                <w:lang w:val="ru-RU" w:eastAsia="zh-CN" w:bidi="hi-IN"/>
              </w:rPr>
            </w:r>
            <w:r/>
          </w:p>
        </w:tc>
        <w:tc>
          <w:tcPr>
            <w:tcW w:w="34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" w:type="dxa"/>
            </w:tcMar>
          </w:tcPr>
          <w:p>
            <w:pPr>
              <w:pStyle w:val="Normal"/>
              <w:suppressAutoHyphens w:val="true"/>
              <w:spacing w:lineRule="exact" w:line="240" w:before="0" w:after="0"/>
              <w:ind w:left="0" w:right="0" w:hanging="0"/>
              <w:jc w:val="left"/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  <w:lang w:val="uk-UA"/>
              </w:rPr>
              <w:t xml:space="preserve">Збільшення кількості 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</w:rPr>
              <w:t xml:space="preserve">дітей-сиріт та дітей, позбавлених батьківського піклування, </w:t>
            </w: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hd w:fill="FFFFFF" w:val="clear"/>
                <w:lang w:val="uk-UA"/>
              </w:rPr>
              <w:t xml:space="preserve">осіб з їх числа, забезпечених житлом для постійного проживання </w:t>
            </w:r>
            <w:r/>
          </w:p>
        </w:tc>
      </w:tr>
    </w:tbl>
    <w:p>
      <w:pPr>
        <w:pStyle w:val="Normal"/>
        <w:suppressAutoHyphens w:val="true"/>
        <w:spacing w:lineRule="exact" w:line="240" w:before="0" w:after="0"/>
        <w:ind w:left="540" w:right="0" w:hanging="0"/>
        <w:jc w:val="left"/>
        <w:rPr>
          <w:sz w:val="24"/>
          <w:sz w:val="24"/>
          <w:szCs w:val="24"/>
          <w:rFonts w:ascii="Times New Roman" w:hAnsi="Times New Roman" w:eastAsia="SimSun" w:cs="Mangal"/>
          <w:color w:val="00000A"/>
          <w:lang w:val="ru-RU" w:eastAsia="zh-CN" w:bidi="hi-IN"/>
        </w:rPr>
      </w:pPr>
      <w:bookmarkStart w:id="2" w:name="__DdeLink__1212_1149760354"/>
      <w:bookmarkStart w:id="3" w:name="__DdeLink__1212_1149760354"/>
      <w:bookmarkEnd w:id="3"/>
      <w:r>
        <w:rPr>
          <w:rFonts w:ascii="Times New Roman" w:hAnsi="Times New Roman"/>
        </w:rPr>
      </w:r>
      <w:r/>
    </w:p>
    <w:sectPr>
      <w:type w:val="nextPage"/>
      <w:pgSz w:orient="landscape" w:w="15840" w:h="12240"/>
      <w:pgMar w:left="1701" w:right="567" w:header="0" w:top="850" w:footer="0" w:bottom="850" w:gutter="0"/>
      <w:pgNumType w:start="0"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paragraph" w:styleId="Style11">
    <w:name w:val="Заголовок"/>
    <w:basedOn w:val="Normal"/>
    <w:next w:val="Style12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pPr>
      <w:suppressLineNumbers/>
    </w:pPr>
    <w:rPr>
      <w:rFonts w:cs="Mangal"/>
    </w:rPr>
  </w:style>
  <w:style w:type="paragraph" w:styleId="Style16">
    <w:name w:val="Содержимое таблицы"/>
    <w:basedOn w:val="Normal"/>
    <w:pPr/>
    <w:rPr/>
  </w:style>
  <w:style w:type="paragraph" w:styleId="Style17">
    <w:name w:val="Заголовок таблицы"/>
    <w:basedOn w:val="Style16"/>
    <w:pPr/>
    <w:rPr/>
  </w:style>
  <w:style w:type="paragraph" w:styleId="Style18">
    <w:name w:val="Блочная цитата"/>
    <w:basedOn w:val="Normal"/>
    <w:pPr/>
    <w:rPr/>
  </w:style>
  <w:style w:type="paragraph" w:styleId="Style19">
    <w:name w:val="Заглавие"/>
    <w:basedOn w:val="Style11"/>
    <w:pPr/>
    <w:rPr/>
  </w:style>
  <w:style w:type="paragraph" w:styleId="Style20">
    <w:name w:val="Подзаголовок"/>
    <w:basedOn w:val="Style11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10313</TotalTime>
  <Application>LibreOffice/4.3.2.2$Windows_x86 LibreOffice_project/edfb5295ba211bd31ad47d0bad0118690f76407d</Application>
  <Paragraphs>143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language>ru-RU</dc:language>
  <dcterms:modified xsi:type="dcterms:W3CDTF">2021-05-11T13:41:54Z</dcterms:modified>
  <cp:revision>8</cp:revision>
</cp:coreProperties>
</file>