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4E92" w:rsidRPr="00144E92" w:rsidRDefault="00144E92" w:rsidP="00144E92">
      <w:pPr>
        <w:spacing w:after="0" w:line="240" w:lineRule="auto"/>
        <w:jc w:val="right"/>
        <w:rPr>
          <w:rFonts w:ascii="Times New Roman" w:eastAsia="Times New Roman" w:hAnsi="Times New Roman" w:cs="Times New Roman"/>
          <w:bCs/>
          <w:noProof/>
          <w:sz w:val="28"/>
          <w:szCs w:val="28"/>
          <w:lang w:val="uk-UA" w:eastAsia="uk-UA"/>
        </w:rPr>
      </w:pPr>
      <w:r w:rsidRPr="00144E92">
        <w:rPr>
          <w:rFonts w:ascii="Times New Roman" w:eastAsia="Times New Roman" w:hAnsi="Times New Roman" w:cs="Times New Roman"/>
          <w:bCs/>
          <w:noProof/>
          <w:sz w:val="28"/>
          <w:szCs w:val="28"/>
          <w:lang w:val="uk-UA" w:eastAsia="uk-UA"/>
        </w:rPr>
        <w:t xml:space="preserve">Додаток 2 </w:t>
      </w:r>
    </w:p>
    <w:p w:rsidR="00144E92" w:rsidRPr="00144E92" w:rsidRDefault="00144E92" w:rsidP="00144E92">
      <w:pPr>
        <w:spacing w:after="0" w:line="240" w:lineRule="auto"/>
        <w:ind w:firstLine="708"/>
        <w:jc w:val="right"/>
        <w:rPr>
          <w:rFonts w:ascii="Times New Roman" w:eastAsia="Times New Roman" w:hAnsi="Times New Roman" w:cs="Times New Roman"/>
          <w:bCs/>
          <w:noProof/>
          <w:sz w:val="28"/>
          <w:szCs w:val="28"/>
          <w:lang w:val="uk-UA" w:eastAsia="uk-UA"/>
        </w:rPr>
      </w:pPr>
      <w:r w:rsidRPr="00144E92">
        <w:rPr>
          <w:rFonts w:ascii="Times New Roman" w:eastAsia="Times New Roman" w:hAnsi="Times New Roman" w:cs="Times New Roman"/>
          <w:bCs/>
          <w:noProof/>
          <w:sz w:val="28"/>
          <w:szCs w:val="28"/>
          <w:lang w:val="uk-UA" w:eastAsia="uk-UA"/>
        </w:rPr>
        <w:t>до рішення міської ради</w:t>
      </w:r>
    </w:p>
    <w:p w:rsidR="00144E92" w:rsidRPr="00144E92" w:rsidRDefault="00144E92" w:rsidP="00144E92">
      <w:pPr>
        <w:spacing w:after="0" w:line="240" w:lineRule="auto"/>
        <w:ind w:firstLine="708"/>
        <w:rPr>
          <w:rFonts w:ascii="Times New Roman" w:eastAsia="Times New Roman" w:hAnsi="Times New Roman" w:cs="Times New Roman"/>
          <w:bCs/>
          <w:noProof/>
          <w:sz w:val="28"/>
          <w:szCs w:val="28"/>
          <w:lang w:val="uk-UA" w:eastAsia="uk-UA"/>
        </w:rPr>
      </w:pPr>
      <w:r w:rsidRPr="00144E92">
        <w:rPr>
          <w:rFonts w:ascii="Times New Roman" w:eastAsia="Times New Roman" w:hAnsi="Times New Roman" w:cs="Times New Roman"/>
          <w:bCs/>
          <w:noProof/>
          <w:sz w:val="28"/>
          <w:szCs w:val="28"/>
          <w:lang w:val="uk-UA" w:eastAsia="uk-UA"/>
        </w:rPr>
        <w:t xml:space="preserve">                              </w:t>
      </w:r>
      <w:r w:rsidRPr="00144E92">
        <w:rPr>
          <w:rFonts w:ascii="Times New Roman" w:eastAsia="Times New Roman" w:hAnsi="Times New Roman" w:cs="Times New Roman"/>
          <w:bCs/>
          <w:noProof/>
          <w:sz w:val="28"/>
          <w:szCs w:val="28"/>
          <w:lang w:val="uk-UA" w:eastAsia="uk-UA"/>
        </w:rPr>
        <w:tab/>
      </w:r>
      <w:r w:rsidRPr="00144E92">
        <w:rPr>
          <w:rFonts w:ascii="Times New Roman" w:eastAsia="Times New Roman" w:hAnsi="Times New Roman" w:cs="Times New Roman"/>
          <w:bCs/>
          <w:noProof/>
          <w:sz w:val="28"/>
          <w:szCs w:val="28"/>
          <w:lang w:val="uk-UA" w:eastAsia="uk-UA"/>
        </w:rPr>
        <w:tab/>
      </w:r>
      <w:r w:rsidRPr="00144E92">
        <w:rPr>
          <w:rFonts w:ascii="Times New Roman" w:eastAsia="Times New Roman" w:hAnsi="Times New Roman" w:cs="Times New Roman"/>
          <w:bCs/>
          <w:noProof/>
          <w:sz w:val="28"/>
          <w:szCs w:val="28"/>
          <w:lang w:val="uk-UA" w:eastAsia="uk-UA"/>
        </w:rPr>
        <w:tab/>
      </w:r>
      <w:r w:rsidRPr="00144E92">
        <w:rPr>
          <w:rFonts w:ascii="Times New Roman" w:eastAsia="Times New Roman" w:hAnsi="Times New Roman" w:cs="Times New Roman"/>
          <w:bCs/>
          <w:noProof/>
          <w:sz w:val="28"/>
          <w:szCs w:val="28"/>
          <w:lang w:val="uk-UA" w:eastAsia="uk-UA"/>
        </w:rPr>
        <w:tab/>
      </w:r>
      <w:r w:rsidRPr="00144E92">
        <w:rPr>
          <w:rFonts w:ascii="Times New Roman" w:eastAsia="Times New Roman" w:hAnsi="Times New Roman" w:cs="Times New Roman"/>
          <w:bCs/>
          <w:noProof/>
          <w:sz w:val="28"/>
          <w:szCs w:val="28"/>
          <w:lang w:val="uk-UA" w:eastAsia="uk-UA"/>
        </w:rPr>
        <w:tab/>
      </w:r>
      <w:r w:rsidRPr="00144E92">
        <w:rPr>
          <w:rFonts w:ascii="Times New Roman" w:eastAsia="Times New Roman" w:hAnsi="Times New Roman" w:cs="Times New Roman"/>
          <w:bCs/>
          <w:noProof/>
          <w:sz w:val="28"/>
          <w:szCs w:val="28"/>
          <w:lang w:val="uk-UA" w:eastAsia="uk-UA"/>
        </w:rPr>
        <w:tab/>
      </w:r>
      <w:r w:rsidRPr="00144E92">
        <w:rPr>
          <w:rFonts w:ascii="Times New Roman" w:eastAsia="Times New Roman" w:hAnsi="Times New Roman" w:cs="Times New Roman"/>
          <w:bCs/>
          <w:noProof/>
          <w:sz w:val="28"/>
          <w:szCs w:val="28"/>
          <w:lang w:val="uk-UA" w:eastAsia="uk-UA"/>
        </w:rPr>
        <w:tab/>
      </w:r>
      <w:r w:rsidRPr="00144E92">
        <w:rPr>
          <w:rFonts w:ascii="Times New Roman" w:eastAsia="Times New Roman" w:hAnsi="Times New Roman" w:cs="Times New Roman"/>
          <w:bCs/>
          <w:noProof/>
          <w:sz w:val="28"/>
          <w:szCs w:val="28"/>
          <w:lang w:val="uk-UA" w:eastAsia="uk-UA"/>
        </w:rPr>
        <w:tab/>
      </w:r>
      <w:r w:rsidRPr="00144E92">
        <w:rPr>
          <w:rFonts w:ascii="Times New Roman" w:eastAsia="Times New Roman" w:hAnsi="Times New Roman" w:cs="Times New Roman"/>
          <w:bCs/>
          <w:noProof/>
          <w:sz w:val="28"/>
          <w:szCs w:val="28"/>
          <w:lang w:val="uk-UA" w:eastAsia="uk-UA"/>
        </w:rPr>
        <w:tab/>
      </w:r>
      <w:r w:rsidRPr="00144E92">
        <w:rPr>
          <w:rFonts w:ascii="Times New Roman" w:eastAsia="Times New Roman" w:hAnsi="Times New Roman" w:cs="Times New Roman"/>
          <w:bCs/>
          <w:noProof/>
          <w:sz w:val="28"/>
          <w:szCs w:val="28"/>
          <w:lang w:val="uk-UA" w:eastAsia="uk-UA"/>
        </w:rPr>
        <w:tab/>
      </w:r>
      <w:r w:rsidRPr="00144E92">
        <w:rPr>
          <w:rFonts w:ascii="Times New Roman" w:eastAsia="Times New Roman" w:hAnsi="Times New Roman" w:cs="Times New Roman"/>
          <w:bCs/>
          <w:noProof/>
          <w:sz w:val="28"/>
          <w:szCs w:val="28"/>
          <w:lang w:val="uk-UA" w:eastAsia="uk-UA"/>
        </w:rPr>
        <w:tab/>
      </w:r>
      <w:r w:rsidRPr="00144E92">
        <w:rPr>
          <w:rFonts w:ascii="Times New Roman" w:eastAsia="Times New Roman" w:hAnsi="Times New Roman" w:cs="Times New Roman"/>
          <w:bCs/>
          <w:noProof/>
          <w:sz w:val="28"/>
          <w:szCs w:val="28"/>
          <w:lang w:val="uk-UA" w:eastAsia="uk-UA"/>
        </w:rPr>
        <w:tab/>
        <w:t xml:space="preserve">     №                         від                          </w:t>
      </w:r>
    </w:p>
    <w:p w:rsidR="00144E92" w:rsidRPr="00144E92" w:rsidRDefault="00144E92" w:rsidP="00144E92">
      <w:pPr>
        <w:spacing w:after="0" w:line="240" w:lineRule="auto"/>
        <w:ind w:firstLine="708"/>
        <w:jc w:val="center"/>
        <w:rPr>
          <w:rFonts w:ascii="Times New Roman" w:eastAsia="Times New Roman" w:hAnsi="Times New Roman" w:cs="Times New Roman"/>
          <w:bCs/>
          <w:noProof/>
          <w:sz w:val="28"/>
          <w:szCs w:val="28"/>
          <w:lang w:val="uk-UA" w:eastAsia="uk-UA"/>
        </w:rPr>
      </w:pPr>
      <w:r w:rsidRPr="00144E92">
        <w:rPr>
          <w:rFonts w:ascii="Times New Roman" w:eastAsia="Times New Roman" w:hAnsi="Times New Roman" w:cs="Times New Roman"/>
          <w:bCs/>
          <w:noProof/>
          <w:sz w:val="28"/>
          <w:szCs w:val="28"/>
          <w:lang w:val="uk-UA" w:eastAsia="uk-UA"/>
        </w:rPr>
        <w:t>Моніторинговий звіт</w:t>
      </w:r>
    </w:p>
    <w:p w:rsidR="00144E92" w:rsidRPr="00144E92" w:rsidRDefault="00144E92" w:rsidP="00144E92">
      <w:pPr>
        <w:spacing w:after="0" w:line="240" w:lineRule="auto"/>
        <w:ind w:firstLine="708"/>
        <w:jc w:val="center"/>
        <w:rPr>
          <w:rFonts w:ascii="Times New Roman" w:eastAsia="Times New Roman" w:hAnsi="Times New Roman" w:cs="Times New Roman"/>
          <w:bCs/>
          <w:noProof/>
          <w:sz w:val="28"/>
          <w:szCs w:val="28"/>
          <w:lang w:val="uk-UA" w:eastAsia="uk-UA"/>
        </w:rPr>
      </w:pPr>
      <w:r w:rsidRPr="00144E92">
        <w:rPr>
          <w:rFonts w:ascii="Times New Roman" w:eastAsia="Times New Roman" w:hAnsi="Times New Roman" w:cs="Times New Roman"/>
          <w:bCs/>
          <w:noProof/>
          <w:sz w:val="28"/>
          <w:szCs w:val="28"/>
          <w:lang w:val="uk-UA" w:eastAsia="uk-UA"/>
        </w:rPr>
        <w:t>щодо виконання заходів Плану дій сталого енергетичного розвитку м.Слов’янська до 2020 року</w:t>
      </w:r>
    </w:p>
    <w:p w:rsidR="00144E92" w:rsidRPr="00144E92" w:rsidRDefault="00144E92" w:rsidP="00144E92">
      <w:pPr>
        <w:spacing w:after="0" w:line="240" w:lineRule="auto"/>
        <w:ind w:firstLine="708"/>
        <w:jc w:val="center"/>
        <w:rPr>
          <w:rFonts w:ascii="Times New Roman" w:eastAsia="Times New Roman" w:hAnsi="Times New Roman" w:cs="Times New Roman"/>
          <w:bCs/>
          <w:noProof/>
          <w:sz w:val="28"/>
          <w:szCs w:val="28"/>
          <w:lang w:val="uk-UA" w:eastAsia="uk-UA"/>
        </w:rPr>
      </w:pPr>
      <w:r w:rsidRPr="00144E92">
        <w:rPr>
          <w:rFonts w:ascii="Times New Roman" w:eastAsia="Times New Roman" w:hAnsi="Times New Roman" w:cs="Times New Roman"/>
          <w:bCs/>
          <w:noProof/>
          <w:sz w:val="28"/>
          <w:szCs w:val="28"/>
          <w:lang w:val="uk-UA" w:eastAsia="uk-UA"/>
        </w:rPr>
        <w:t xml:space="preserve"> за 2016-2019 роки</w:t>
      </w:r>
    </w:p>
    <w:p w:rsidR="00144E92" w:rsidRPr="00144E92" w:rsidRDefault="00144E92" w:rsidP="00144E92">
      <w:pPr>
        <w:spacing w:after="0" w:line="240" w:lineRule="auto"/>
        <w:ind w:firstLine="708"/>
        <w:rPr>
          <w:rFonts w:ascii="Times New Roman" w:eastAsia="Times New Roman" w:hAnsi="Times New Roman" w:cs="Times New Roman"/>
          <w:bCs/>
          <w:noProof/>
          <w:sz w:val="28"/>
          <w:szCs w:val="28"/>
          <w:lang w:val="uk-UA" w:eastAsia="uk-UA"/>
        </w:rPr>
      </w:pPr>
    </w:p>
    <w:tbl>
      <w:tblPr>
        <w:tblW w:w="0" w:type="auto"/>
        <w:tblInd w:w="118" w:type="dxa"/>
        <w:tblLook w:val="04A0" w:firstRow="1" w:lastRow="0" w:firstColumn="1" w:lastColumn="0" w:noHBand="0" w:noVBand="1"/>
      </w:tblPr>
      <w:tblGrid>
        <w:gridCol w:w="584"/>
        <w:gridCol w:w="2032"/>
        <w:gridCol w:w="1695"/>
        <w:gridCol w:w="878"/>
        <w:gridCol w:w="716"/>
        <w:gridCol w:w="951"/>
        <w:gridCol w:w="855"/>
        <w:gridCol w:w="1109"/>
        <w:gridCol w:w="861"/>
        <w:gridCol w:w="1274"/>
        <w:gridCol w:w="970"/>
        <w:gridCol w:w="829"/>
        <w:gridCol w:w="1274"/>
        <w:gridCol w:w="970"/>
      </w:tblGrid>
      <w:tr w:rsidR="00144E92" w:rsidRPr="00144E92" w:rsidTr="000A2A2E">
        <w:trPr>
          <w:trHeight w:val="20"/>
        </w:trPr>
        <w:tc>
          <w:tcPr>
            <w:tcW w:w="0" w:type="auto"/>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з/п</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Назва проекту/заходу</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Зміст заходу</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Статус реалізації</w:t>
            </w:r>
          </w:p>
        </w:tc>
        <w:tc>
          <w:tcPr>
            <w:tcW w:w="0" w:type="auto"/>
            <w:gridSpan w:val="2"/>
            <w:vMerge w:val="restart"/>
            <w:tcBorders>
              <w:top w:val="single" w:sz="8" w:space="0" w:color="auto"/>
              <w:left w:val="single" w:sz="8" w:space="0" w:color="auto"/>
              <w:bottom w:val="single" w:sz="8" w:space="0" w:color="000000"/>
              <w:right w:val="single" w:sz="8" w:space="0" w:color="000000"/>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Часові рамки</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Загальна вартість реалізації, (тис. грн)</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Використане фінансування, (тис. грн.)</w:t>
            </w:r>
          </w:p>
        </w:tc>
        <w:tc>
          <w:tcPr>
            <w:tcW w:w="0" w:type="auto"/>
            <w:gridSpan w:val="3"/>
            <w:tcBorders>
              <w:top w:val="single" w:sz="8" w:space="0" w:color="auto"/>
              <w:left w:val="nil"/>
              <w:bottom w:val="single" w:sz="8" w:space="0" w:color="auto"/>
              <w:right w:val="single" w:sz="8" w:space="0" w:color="000000"/>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Очікувані результати</w:t>
            </w:r>
          </w:p>
        </w:tc>
        <w:tc>
          <w:tcPr>
            <w:tcW w:w="0" w:type="auto"/>
            <w:gridSpan w:val="3"/>
            <w:tcBorders>
              <w:top w:val="single" w:sz="8" w:space="0" w:color="auto"/>
              <w:left w:val="nil"/>
              <w:bottom w:val="single" w:sz="8" w:space="0" w:color="auto"/>
              <w:right w:val="single" w:sz="8" w:space="0" w:color="000000"/>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Фактичні результати</w:t>
            </w:r>
          </w:p>
        </w:tc>
      </w:tr>
      <w:tr w:rsidR="00144E92" w:rsidRPr="00144E92" w:rsidTr="000A2A2E">
        <w:trPr>
          <w:trHeight w:val="458"/>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gridSpan w:val="2"/>
            <w:vMerge/>
            <w:tcBorders>
              <w:top w:val="single" w:sz="8" w:space="0" w:color="auto"/>
              <w:left w:val="single" w:sz="8" w:space="0" w:color="auto"/>
              <w:bottom w:val="single" w:sz="8" w:space="0" w:color="000000"/>
              <w:right w:val="single" w:sz="8" w:space="0" w:color="000000"/>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val="restart"/>
            <w:tcBorders>
              <w:top w:val="nil"/>
              <w:left w:val="nil"/>
              <w:bottom w:val="single" w:sz="8" w:space="0" w:color="000000"/>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Очікувана економія енергії, МВт-год/рік</w:t>
            </w:r>
          </w:p>
        </w:tc>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Виробництво відновлювальної енергії,  МВт-год/рік</w:t>
            </w:r>
          </w:p>
        </w:tc>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Скорочення викидів СО2 (т/рік)</w:t>
            </w:r>
          </w:p>
        </w:tc>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Фактична економія енергії, МВт-год/рік</w:t>
            </w:r>
          </w:p>
        </w:tc>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Виробництво відновлювальної енергії,  МВт-год/рік</w:t>
            </w:r>
          </w:p>
        </w:tc>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Скорочення викидів СО2 (т/рік)</w:t>
            </w:r>
          </w:p>
        </w:tc>
      </w:tr>
      <w:tr w:rsidR="00144E92" w:rsidRPr="00144E92" w:rsidTr="000A2A2E">
        <w:trPr>
          <w:trHeight w:val="20"/>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Дата початку</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Дата завершення</w:t>
            </w: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nil"/>
              <w:left w:val="nil"/>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nil"/>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nil"/>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nil"/>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nil"/>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vMerge/>
            <w:tcBorders>
              <w:top w:val="nil"/>
              <w:left w:val="single" w:sz="8" w:space="0" w:color="auto"/>
              <w:bottom w:val="single" w:sz="8" w:space="0" w:color="000000"/>
              <w:right w:val="single" w:sz="8" w:space="0" w:color="auto"/>
            </w:tcBorders>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Calibri" w:eastAsia="Times New Roman" w:hAnsi="Calibri" w:cs="Calibri"/>
                <w:b/>
                <w:bCs/>
                <w:color w:val="000000"/>
                <w:sz w:val="16"/>
                <w:szCs w:val="16"/>
                <w:lang w:val="uk-UA" w:eastAsia="uk-UA"/>
              </w:rPr>
            </w:pPr>
            <w:r w:rsidRPr="00144E92">
              <w:rPr>
                <w:rFonts w:ascii="Calibri" w:eastAsia="Times New Roman" w:hAnsi="Calibri" w:cs="Calibri"/>
                <w:b/>
                <w:bCs/>
                <w:color w:val="000000"/>
                <w:sz w:val="16"/>
                <w:szCs w:val="16"/>
                <w:lang w:val="uk-UA" w:eastAsia="uk-UA"/>
              </w:rPr>
              <w:t> </w:t>
            </w:r>
          </w:p>
        </w:tc>
        <w:tc>
          <w:tcPr>
            <w:tcW w:w="0" w:type="auto"/>
            <w:gridSpan w:val="2"/>
            <w:tcBorders>
              <w:top w:val="nil"/>
              <w:left w:val="nil"/>
              <w:bottom w:val="single" w:sz="8" w:space="0" w:color="auto"/>
              <w:right w:val="single" w:sz="8" w:space="0" w:color="000000"/>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 Муніципальні будівлі, обладнання/об'єкти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Calibri" w:eastAsia="Times New Roman" w:hAnsi="Calibri" w:cs="Calibri"/>
                <w:b/>
                <w:bCs/>
                <w:color w:val="000000"/>
                <w:sz w:val="16"/>
                <w:szCs w:val="16"/>
                <w:lang w:val="uk-UA" w:eastAsia="uk-UA"/>
              </w:rPr>
            </w:pPr>
            <w:r w:rsidRPr="00144E92">
              <w:rPr>
                <w:rFonts w:ascii="Calibri" w:eastAsia="Times New Roman" w:hAnsi="Calibri" w:cs="Calibri"/>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Calibri" w:eastAsia="Times New Roman" w:hAnsi="Calibri" w:cs="Calibri"/>
                <w:b/>
                <w:bCs/>
                <w:color w:val="000000"/>
                <w:sz w:val="16"/>
                <w:szCs w:val="16"/>
                <w:lang w:val="uk-UA" w:eastAsia="uk-UA"/>
              </w:rPr>
            </w:pPr>
            <w:r w:rsidRPr="00144E92">
              <w:rPr>
                <w:rFonts w:ascii="Calibri" w:eastAsia="Times New Roman" w:hAnsi="Calibri" w:cs="Calibri"/>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178 834,03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16 368,51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1 715,74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6 993,43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10 486,90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1 715,74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5 121,41</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Calibri" w:eastAsia="Times New Roman" w:hAnsi="Calibri" w:cs="Calibri"/>
                <w:b/>
                <w:bCs/>
                <w:color w:val="000000"/>
                <w:sz w:val="16"/>
                <w:szCs w:val="16"/>
                <w:lang w:val="uk-UA" w:eastAsia="uk-UA"/>
              </w:rPr>
            </w:pPr>
            <w:r w:rsidRPr="00144E92">
              <w:rPr>
                <w:rFonts w:ascii="Calibri" w:eastAsia="Times New Roman" w:hAnsi="Calibri" w:cs="Calibri"/>
                <w:b/>
                <w:bCs/>
                <w:color w:val="000000"/>
                <w:sz w:val="16"/>
                <w:szCs w:val="16"/>
                <w:lang w:val="uk-UA" w:eastAsia="uk-UA"/>
              </w:rPr>
              <w:t> </w:t>
            </w:r>
          </w:p>
        </w:tc>
        <w:tc>
          <w:tcPr>
            <w:tcW w:w="0" w:type="auto"/>
            <w:gridSpan w:val="2"/>
            <w:tcBorders>
              <w:top w:val="single" w:sz="8" w:space="0" w:color="auto"/>
              <w:left w:val="nil"/>
              <w:bottom w:val="single" w:sz="8" w:space="0" w:color="auto"/>
              <w:right w:val="single" w:sz="8" w:space="0" w:color="000000"/>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1.1 Муніципальні будівлі</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Calibri" w:eastAsia="Times New Roman" w:hAnsi="Calibri" w:cs="Calibri"/>
                <w:b/>
                <w:bCs/>
                <w:color w:val="000000"/>
                <w:sz w:val="16"/>
                <w:szCs w:val="16"/>
                <w:lang w:val="uk-UA" w:eastAsia="uk-UA"/>
              </w:rPr>
            </w:pPr>
            <w:r w:rsidRPr="00144E92">
              <w:rPr>
                <w:rFonts w:ascii="Calibri" w:eastAsia="Times New Roman" w:hAnsi="Calibri" w:cs="Calibri"/>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Calibri" w:eastAsia="Times New Roman" w:hAnsi="Calibri" w:cs="Calibri"/>
                <w:b/>
                <w:bCs/>
                <w:color w:val="000000"/>
                <w:sz w:val="16"/>
                <w:szCs w:val="16"/>
                <w:lang w:val="uk-UA" w:eastAsia="uk-UA"/>
              </w:rPr>
            </w:pPr>
            <w:r w:rsidRPr="00144E92">
              <w:rPr>
                <w:rFonts w:ascii="Calibri" w:eastAsia="Times New Roman" w:hAnsi="Calibri" w:cs="Calibri"/>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110 275,58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13 099,12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834,50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4 349,48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6 557,71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834,50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2 148,56</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Запровадження системи енергоменеджменту в бюджетних будівлях</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Удосконалення системи енергоменеджменту, встановлення лімітів споживання ПЕР, закупівля програмного забезпечення, навчання персоналу</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535,5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3 291,17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987,35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Створення автоматизованих робочих місць з моніторингу енергоспоживання та інших енергоощадних процесів.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822,79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16,33</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Впровадження енергозберігаючого освітлення в бюджетних закладах (етап 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Заміна ламп розжарювання на енергозберігаючі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111,57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231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147,147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231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142,758</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Впровадження енергозберігаючого освітлення в бюджетних закладах (етап 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Заміна ламп розжарювання на енергозберігаючі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295,6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285,6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181,9272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285,6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176,5008</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1.1.4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Підвищення енергоефективності в будівлях бюджетної сфери, (етап 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Заміна  вікон на енергозберігаючі, заміна зношених дверей на сучасні енергозберігаючі, поліпшення теплозахисних властивостей будівлі (утеплення горищ, стелі, тамбурів)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10 750,00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710,48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213,144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710,48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213,144</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Підвищення енергоефективності в будівлях бюджетної сфери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Встановлення індивідуальної системи опалення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177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89,55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26,865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89,6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26,88</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Будівництво блочно-модульної котельні на твердому палеві в ЗОШ №1 по вул.. Свободи, буд. 28, м. Слов’янська, Донецької області (в т.ч. проектно-кошторисна документація).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Будівництво блочно-модульної котельні на твердому палеві в ЗОШ №10 по вул. Бульварній, буд. 6, м. Слов’янська, Донецької області (в т.ч. проектно-кошторисна документація).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Будівництво блочно-модульної котельні на твердому палеві в ДНЗ №55 по пров. героїв Чорнобиля, буд.28 (пров. Комсомольський, буд.28), м. Слов’янська, Донецької області (в т.ч. проектно-кошторисна документація).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40,5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існуючої котельні ЗОШ №7 (перехід на автономне опалення) по вул. Енергетиків, буд.6, м. Слов’янська, Донецької області (в т.ч. проектно-кошторисна документація).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49,5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1.1.6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Підвищення енергоефективності в будівлях бюджетної сфери, (етап 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Заміна вікон та дверей, утеплення зовнішніх стін, ізоляція горища, Встановлення індивідуальних теплових підстанцій, відновлення термоізоляції труб опалення,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11 581,02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70 027,16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1 059,33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315,97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986,25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295,875</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Заміна вікон на енергозберігаючи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заклади охорони здоровя (157од),освіти (20од.), соціального захисту населення (6 од.)</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280,00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ЗОШ №13 по вул. Ясній, буд.19, м. Слов’янська, Донецької області (в т.ч. проектно-кошторисна документація).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558,70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Реконструкція ДНЗ №3 по вул. Ясній, буд. 17, м. Слов’янська, Донецької області (в т.ч. проектно-кошторисна документація).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159,00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ДНЗ № 56 по вул. Ясній, буд.23, м. Слов’янська, Донецької області (в т.ч. проектно-кошторисна документація).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160,00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ЗОШ № 11 по вул. Вокзальній, буд. 22 (вул. Свердлова, буд.22) м. Слов’янська, Донецької області (в т.ч. проектно-кошторисна документація).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330,00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Реконструкція ДНЗ № 33 по вул. Вокзальній, буд. 18 (вул. Свердлова, буд.18) м. Слов’янська, Донецької області (в т.ч. проектно-кошторисна документація).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45,00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Капітальний ремонт ЗОШ І-ІІІ ступенів № 1 по вул. Синецького, буд. 4, м. </w:t>
            </w:r>
            <w:r w:rsidRPr="00144E92">
              <w:rPr>
                <w:rFonts w:ascii="Times New Roman" w:eastAsia="Times New Roman" w:hAnsi="Times New Roman" w:cs="Times New Roman"/>
                <w:color w:val="000000"/>
                <w:sz w:val="16"/>
                <w:szCs w:val="16"/>
                <w:lang w:val="uk-UA" w:eastAsia="uk-UA"/>
              </w:rPr>
              <w:lastRenderedPageBreak/>
              <w:t>Миколаївка, Донецької обл. (у т.ч. розробка проектно-кошторисної документації).</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13,4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Капітальний ремонт ЗОШ І-ІІІ ступенів № 2 по вул. 50-річчя Слов’янської ТЕС, 11, м. Миколаївка, Донецької обл. (у т.ч. розробка ПКД).</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39,4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частини існуючої будівлі школи № 6 під дошкільний підрозділ по вул. Гагаріна,3 м. Слов’янськ Донецької області (в т.ч. проектно-кошторисна документація та її експертна оцінка).</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49,5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частини існуючої будівлі школи № 7 під дошкільний підрозділ по вул. Енергетиків, 24, м. Слов’янськ ,Донецької області (в т.ч. проектно-кошторисна документація та її експертна оцінка).</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49,5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Капітальний ремонт будівлі будинку культури сел. Семенівка (в т.ч. розробка проектно-кошторисної документації) за адресою: м. Слов’янськ, вул. Весняна, 23.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692,6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Заміна вікон (75 од./61од.)  та дверей (24 од./24од.) на енергозберегаючі , ремонт  покрівлі (2043м2/2043м2)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Медичні заклади м.Слов'янська (4 од.)</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2921,4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Грантовий проект НЕФКО «Впровадження проекту енергозбереження в м. Слов’янськ»</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Капітальний ремонт будівлі амбулаторії №4 КЗ «Центр первинної медико-санітарної допомоги міста Слов’янськ» по вул. Ярослава Мудрого,14 (2401,643 тис. грн.);</w:t>
            </w:r>
            <w:r w:rsidRPr="00144E92">
              <w:rPr>
                <w:rFonts w:ascii="Times New Roman" w:eastAsia="Times New Roman" w:hAnsi="Times New Roman" w:cs="Times New Roman"/>
                <w:color w:val="000000"/>
                <w:sz w:val="16"/>
                <w:szCs w:val="16"/>
                <w:lang w:val="uk-UA" w:eastAsia="uk-UA"/>
              </w:rPr>
              <w:br/>
              <w:t xml:space="preserve">2. Капітальний </w:t>
            </w:r>
            <w:r w:rsidRPr="00144E92">
              <w:rPr>
                <w:rFonts w:ascii="Times New Roman" w:eastAsia="Times New Roman" w:hAnsi="Times New Roman" w:cs="Times New Roman"/>
                <w:color w:val="000000"/>
                <w:sz w:val="16"/>
                <w:szCs w:val="16"/>
                <w:lang w:val="uk-UA" w:eastAsia="uk-UA"/>
              </w:rPr>
              <w:lastRenderedPageBreak/>
              <w:t>ремонт будівлі амбулаторій №№ 1,2 КЗ «Центр первинної медико-санітарної допомоги міста Слов’янська» по вул.Банківська,85 (5652,628 тис. грн.);</w:t>
            </w:r>
            <w:r w:rsidRPr="00144E92">
              <w:rPr>
                <w:rFonts w:ascii="Times New Roman" w:eastAsia="Times New Roman" w:hAnsi="Times New Roman" w:cs="Times New Roman"/>
                <w:color w:val="000000"/>
                <w:sz w:val="16"/>
                <w:szCs w:val="16"/>
                <w:lang w:val="uk-UA" w:eastAsia="uk-UA"/>
              </w:rPr>
              <w:br/>
              <w:t>3. Капітальний ремонт мереж зовнішнього освітлення (2992,393 тис. грн.).</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62 208,82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 Реконструкція системи теплопостачання ЗОШ №7 (перехід на автономне опалення) по вул. Енергетиків, буд. 24, м. Слов'янська, Донецької області</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830,60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Капітальний ремонт будівлі КЛПЗ "Міська дитяча лікарня" по вул.Ярослава Мудрого, 12 (Урицького,12) в м.Слов'янськ Донецької області (заміна вікон)</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1 689,24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Підвищення енергоефективності в будівлях бюджетної сфери, (етап 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Заміна вікон та дверей, утеплення зовнішніх стін, ізоляція горища, Встановлення індивідуальних теплових підстанцій, відновлення термоізоляції труб опалення,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27 532,00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8 125,20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1 665,00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496,63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1 665,00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496,63</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Капітальний ремонт з проведенням заходів з енергозбереження КЛПЗ "Вузлова лікарня м.Слов’янська" за адресою: вул.Маломіська, 142, м.Слов`янськ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7 777,68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Капітальний ремонт будівлі амбулаторії № 4 КЗ «Центр первинної медико-санітарної допомоги міста </w:t>
            </w:r>
            <w:r w:rsidRPr="00144E92">
              <w:rPr>
                <w:rFonts w:ascii="Times New Roman" w:eastAsia="Times New Roman" w:hAnsi="Times New Roman" w:cs="Times New Roman"/>
                <w:color w:val="000000"/>
                <w:sz w:val="16"/>
                <w:szCs w:val="16"/>
                <w:lang w:val="uk-UA" w:eastAsia="uk-UA"/>
              </w:rPr>
              <w:lastRenderedPageBreak/>
              <w:t xml:space="preserve">Слов’янська» по вулиці Ярослава Мудрого, 14, </w:t>
            </w:r>
            <w:r w:rsidRPr="00144E92">
              <w:rPr>
                <w:rFonts w:ascii="Times New Roman" w:eastAsia="Times New Roman" w:hAnsi="Times New Roman" w:cs="Times New Roman"/>
                <w:color w:val="000000"/>
                <w:sz w:val="16"/>
                <w:szCs w:val="16"/>
                <w:lang w:val="uk-UA" w:eastAsia="uk-UA"/>
              </w:rPr>
              <w:br/>
              <w:t>Капітальний ремонт будівлі амбулаторій №1,2 КЗ «Центр первинної медико-санітарної допомоги міста Слов’янська»  по вулиці Банківська, 85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347,52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Капітальний ремонт будівлі ДНЗ №25 по вул. Короленка, 7 м.Слов’янськ,  Донецької області</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утеплення будівлі 1460,52 м2, заміна 120 вікон і дверей, 814 м інженерних комунікацій</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5 900,28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Капітальний ремонт ясла – садка №26 по вул. Ярослава Мудрого, 45 (вул. Урицького,45), м.Слов’янськ Донецької області (утеплення фасаду, зовнішні мережі водопостачання та каналізації, благоустрій та зовнішнє освітлення) (коригування)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7 740,74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Комплексна термомодернізація обраних закладів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Встановлення балансувальної апаратури та відновлення теплоізоляції трубопроводів, промивка системи опалення, встановлення ІТП, встановлення тепловідбивних екранів між зовнішніми стінами приміщень та радіаторами, заміна вікон та зовнішніх дверей на металопластикові, утеплення фасаду, даху, цоколю, встановлення локальних систем вентиляції з рекуперацією</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55 064,00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4 721,99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5 766,99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1 730,10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1 766,99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530,10</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Капітальний ремонт з проведенням заходів з термомодернізації будівлі жіночої консультації КЛПЗ "Пологовий будинок" за адресою: вул.Свободи,37, м.Слов'янськ, Донецька обл.</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2 334,89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Капітальний ремонт з проведенням заходів з термомодернізації будівлі жіночої консультації КЛПЗ "Пологовий будинок" за адресою: вул.Свободи, 37, м.Слов'янськ, Донецька обл.</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2 387,10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Використання відновлювальних джерел енергії в бюджетних будівлях</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Використання теплового насосу для опалення приміщення  будівлі бюджетної сфери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2 766,67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1 233,20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623,4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187,02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623,4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187,02</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системи теплопостачання ЗОШ №7 (перехід на автономне опалення) по вул. Енергетиків, буд.24, м.Слов'янська, Донецької області (коригування)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введення в дію котельні на альтернативному паливі</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1 233,20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1.1.10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Використання відновлювальних джерел енергії в бюджетних будівлях</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Встановлення геліосистеми (пілотний проект) для підігріву гарячої води у ДНЗ</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1 424,22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211,1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63,33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211,1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63,33</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gridSpan w:val="2"/>
            <w:tcBorders>
              <w:top w:val="single" w:sz="8" w:space="0" w:color="auto"/>
              <w:left w:val="nil"/>
              <w:bottom w:val="single" w:sz="8" w:space="0" w:color="auto"/>
              <w:right w:val="single" w:sz="8" w:space="0" w:color="000000"/>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1.2 Муніципальні обладнання/об'єкти</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64 775,30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2 835,39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881,24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2 367,49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3 449,19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881,24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2 676,21</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1.2.1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Вдосконалення системи енергоменеджменту  ВО "Слов'янськтепло-мережа"  ОКП "Донецьктеплокомуненерго"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Встановлення приладів обліку з автоматичним зняттям показів, зменшення непродуктивних втрат, закупівля програмного забезпечення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508,4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152,70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97,2699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152,70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94,3686</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lastRenderedPageBreak/>
              <w:t>1.2.2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Вдосконалення системи енергоменеджменту  ВО "Слов'янськтепло-мережа"  ОКП "Донецьктеплокомуненерго"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Встановлення приладів обліку з автоматичним зняттям показів, зменшення непродуктивних втрат, закупівля програмного забезпечення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254,2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163,18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103,94566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163,18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100,84524</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1.2.3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системи теплопостачання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теплових мереж із застосуванням труб з пінополіуретановим покриттям</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13 568,00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639,60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856,75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545,74975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85,75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52,9935</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теплових мереж із використанням труб в ППУ ізоляції, м.Слов'янськ</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639,6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1.2.4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Модернізація системи теплопостачання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котелень з встановленням  перетворювачів  частоти на двигунах насосів, димососів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481,2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3 202,33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252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160,524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1625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1004,25</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котельні №5 друга черга</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3202,33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1.2.5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Використання енергоефективного обладнання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Заміна існуючого енергообладнання на енергосберігаюче 2-х водопровідних насосних станцій, 9-ти підвищувальних насосних станцій, водозабору</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7 024,40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570,80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174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110,838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174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107,532</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Облаштування, ремонт та утримання насосних станцій (31 од.), в т.ч., розчищення дренажних канав.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570,8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1.2.6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Використання енергоефективного обладнання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Заміна існуючого енергообладнання на енергосберігаюче 15-ти каналізаційних  насосних станцій, каналізаційних очисних споруд</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10 904,30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10 572,31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189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120,393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196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121,128</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Реконструкція каналізаційної  системи з встановленням  водяних лічильників,  флотаційних установок та допоміжного обладнання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83,50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Придбання та встановлення насосного і технологічного обладнання для заміни такого, що використало свої технічні можливості на комунальних каналізаційних системах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107,40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Встановлення ультразвукових витратомірів на водоводах (6 од.)</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270,00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Придбання та встановлення насосного і технологічного обладнання для заміни такого, що використало свої технічні можливості на комунальних каналізаційних системах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Придбання і встановлення нових 4 насосних агрегатів взамін застарілих для ефективної роботи зливової системи.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107,40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Встановлення ультразвукових витратомірів на водоводах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270,00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Капітальний  ремонт  каналізаційних  колодязів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146,52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Капітальний ремонт та заміна  каналізаційних мереж окремими ділянками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31,57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Капітальний ремонт водопровідних колодязів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148,00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Капітальний ремонт каналізаційних колодязів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144,80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Капітальний ремонт та заміна каналізаційних мереж окремими ділянками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23,30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аварійної ділянки самопливного каналізаційного колектора з мір-на Артема від вул.Артема до КНС №5 методом санації, м.Слов'янськ</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9 239,82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1.2.7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Зменшення непродуктивних втрат</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водопровідних мереж з метою зменшення витоків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23 568,00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1 260,93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956,76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609,45612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956,76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591,27768</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Капітальний ремонт та заміна водопровідних мереж (2,0 км/</w:t>
            </w:r>
            <w:r w:rsidRPr="00144E92">
              <w:rPr>
                <w:rFonts w:ascii="Times New Roman" w:eastAsia="Times New Roman" w:hAnsi="Times New Roman" w:cs="Times New Roman"/>
                <w:b/>
                <w:bCs/>
                <w:color w:val="000000"/>
                <w:sz w:val="16"/>
                <w:szCs w:val="16"/>
                <w:lang w:val="uk-UA" w:eastAsia="uk-UA"/>
              </w:rPr>
              <w:t>2,838 км</w:t>
            </w:r>
            <w:r w:rsidRPr="00144E92">
              <w:rPr>
                <w:rFonts w:ascii="Times New Roman" w:eastAsia="Times New Roman" w:hAnsi="Times New Roman" w:cs="Times New Roman"/>
                <w:color w:val="000000"/>
                <w:sz w:val="16"/>
                <w:szCs w:val="16"/>
                <w:lang w:val="uk-UA" w:eastAsia="uk-UA"/>
              </w:rPr>
              <w:t>) окремими ділянками, в т.ч., прийом об’єктів у комунальну власність</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251,01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Аварійно-відновлювальні роботи (з урахуванням придбання технічного обладнання)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99,28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Капітальний ремонт внутрішньобудинкових мереж водопостачання та каналізації  в багатоквартирних житлових будинках м.Слов'янськ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179,096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Капітальний  ремонт   водопровідних  колодязів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104,93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Капітальний ремонт та заміна  водопровідних мереж окремими ділянками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308,22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Капітальний ремонт та заміна водопровідних мереж окремими ділянками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298,60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Капітальний ремонт аварійної ділянки водопроводу по вул.Геологічна (від вул.Юмашева до пров.Високий), м.Слов’янськ (в т.ч. розробка проектно-кошторисної документації)</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270,81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1.2.8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Використання енергоефективного освітлення виробничих приміщень</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Переведення  освітлення на енергозберігаючі лампи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52,14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6,37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14,8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9,1464</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Перевод освітлення на еконолампи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16,07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Переведення  освітлення на енергозберігаючі лампи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16,07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Переведення освітлення на енергозберігаючі лампи в виробничих приміщеннях</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1.2.9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Використання альтернативних видів палива</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Заміна газового автономного опалення на очисних спорудахта опалення в адмінбудівлі  з використанням котлів на твердому паливі</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6 922,00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498,84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317,76108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498,84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308,28312</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1.2.10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Використання альтернативних видів енергії</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котельні № 39 з установкою котла та 3 теплових насосів для подачі гарячої води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340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382,4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243,5888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382,4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236,3232</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1.2.11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Покращення роботи обладнання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Проектування резервного вводу електропостачання котельні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1 200,00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51,597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50,058</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gridSpan w:val="2"/>
            <w:tcBorders>
              <w:top w:val="single" w:sz="8" w:space="0" w:color="auto"/>
              <w:left w:val="nil"/>
              <w:bottom w:val="single" w:sz="8" w:space="0" w:color="auto"/>
              <w:right w:val="single" w:sz="8" w:space="0" w:color="000000"/>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1.3. Муніципальне громадське освітлення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3 783,15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434,00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276,46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480,00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296,64</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1.3.1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зовнішнього освітлення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Заміна ліхтарів з лампами розжарювання на світлодіодні ліхтарі, встановлення апаратури регулювання включення виключення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1 150,00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122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77,714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122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75,396</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1.3.2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зовнішнього освітлення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Заміна ліхтарів з лампами розжарювання на світлодіодні ліхтарі, встановлення апаратури регулювання включення виключення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2 633,15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2 308,06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198,744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358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221,244</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Капітальний ремонт мереж зовнішнього освітлення, у т.ч., вул. Будьонного, вул. Жукова, вул. Калініна, пров. Калініна, вул. Трунова, пров. Трунова, вул. Пирогова, бул. Пушкіна.</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913,21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Капітальний ремонт мереж зовньошного освітлення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891,20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Капітальний ремонт мереж зовньошного освітлення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468,95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ЗАПРОВАДЖЕННЯ  ІННОВАЦІЙНИХ,  ЕНЕРГОЗБЕРІГАЮЧИХ  ТЕХНОЛОГІЙ  при реконструкції, капітальному ремонту та будівництві МЕРЕЖ  ЗОВНІШНЬОГО  ОСВІТЛЕННЯ вулиць населених пунктів Донецької області</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34,70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gridSpan w:val="2"/>
            <w:tcBorders>
              <w:top w:val="single" w:sz="8" w:space="0" w:color="auto"/>
              <w:left w:val="nil"/>
              <w:bottom w:val="single" w:sz="8" w:space="0" w:color="auto"/>
              <w:right w:val="single" w:sz="8" w:space="0" w:color="000000"/>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2.Третинний сектор (малий та середній бізнес, сфера обслуговування). </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77 839,02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9 943,54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5 210,63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9 943,54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5 085,04</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Покращення роботи обладнання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Запровадження заходів з енергоефективної експлуатації будівель та обладнання;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7 260,00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520,00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331,24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520,00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321,36</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Запровадження енергоефективного освітлення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Заміна електричних ламп на енергозберігаючі та встановлення автоматичних систем керування освітленням у будівлях третинного сектору;</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854,5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709,00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451,63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709,00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438,16</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Використання енергоефективного технологічного обладнання.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Заміна наявного технологічного обладнання на більш енергоефективне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61 524,00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5 381,00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3 427,70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5 381,00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3 325,46</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2.4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Впровадження енергозберігаючих заходів в будівлях третинного сектору</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Заходи, спрямовані на економію теплової енергії шляхом погодного регулювання, з налагодженням гідравлічного та теплового режиму внутрішньо-будинкових систем опалення та усуненням теплових втрат у неопалювальних приміщеннях;</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1 200,08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1 000,06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300,02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1 000,06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300,02</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Впровадження енергозберігаючих заходів в будівлях третинного сектору</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Утеплення зовнішніх стін, заміна віконних конструкцій у будинках третинного сектору;</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7 000,44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2 333,48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700,04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2 333,48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700,04</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gridSpan w:val="2"/>
            <w:tcBorders>
              <w:top w:val="single" w:sz="8" w:space="0" w:color="auto"/>
              <w:left w:val="nil"/>
              <w:bottom w:val="single" w:sz="8" w:space="0" w:color="auto"/>
              <w:right w:val="single" w:sz="8" w:space="0" w:color="000000"/>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3. Житлові будівлі</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245 784,84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196 328,23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59 837,24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147 128,23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44 300,60</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Просвітницькі кампанії з інформування мешканців щодо енергозберігаючих заходів та маловартісні заходи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Встановлення лічильників обліку, інформаційні кампанії, впровадження маловитратних заходів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3 600,42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91,35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18 259,50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6 390,83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59,50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54,26</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Встановлення приладів обліку електроенергії – 25 од.</w:t>
            </w:r>
          </w:p>
        </w:tc>
        <w:tc>
          <w:tcPr>
            <w:tcW w:w="0" w:type="auto"/>
            <w:tcBorders>
              <w:top w:val="nil"/>
              <w:left w:val="nil"/>
              <w:bottom w:val="single" w:sz="8" w:space="0" w:color="auto"/>
              <w:right w:val="single" w:sz="8" w:space="0" w:color="auto"/>
            </w:tcBorders>
            <w:shd w:val="clear" w:color="000000" w:fill="FFFFFF"/>
            <w:vAlign w:val="center"/>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3,99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Встановлення  приладів обліку  ел.енергії -20од./62од.,    теплової енергії - 5 од./0 од.</w:t>
            </w:r>
          </w:p>
        </w:tc>
        <w:tc>
          <w:tcPr>
            <w:tcW w:w="0" w:type="auto"/>
            <w:tcBorders>
              <w:top w:val="nil"/>
              <w:left w:val="nil"/>
              <w:bottom w:val="single" w:sz="8" w:space="0" w:color="auto"/>
              <w:right w:val="single" w:sz="8" w:space="0" w:color="auto"/>
            </w:tcBorders>
            <w:shd w:val="clear" w:color="000000" w:fill="FFFFFF"/>
            <w:vAlign w:val="center"/>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83,37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Встановлення  приладів обліку  ел.енергії -25од./4од.</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Житлові будинки: вул.Світлодарська ,3, вул.Торська,18,22,65    вул.Короленка,4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3,99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Стимулювання мешканців до використання у домогосподарствах енергоощадних пристроїв освітлення та побутової техніки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Заміна ламп розжарювання на енергозберігаючі на сходових клітках та у власних оселях мешканців будинків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9 213,43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11 056,12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7 042,75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11 056,12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6 832,68</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3.3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Впровадження енергозберігаючих заходів в житлових будівлях (етап 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Утеплення  фасадів  житлових  будинків, заміна вікон на енергоефективні впровадження   приладів обліку   теплової енергії та електроенергії, заміна внутрішньобудинкових мереж опалення (у т.ч. теплоізоляція труб)</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8 744,50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18 266,13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5 297,18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18 266,13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5 297,18</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Впровадження енергозберігаючих заходів в житлових будівлях (етап 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Утеплення  фасадів  житлових  будинків, заміна вікон на енергоефективні впровадження   приладів обліку   теплової енергії та електроенергії, Заміна внутрішньобудинкових мереж опалення (у т.ч. теплоізоляція труб)</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66 955,65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17 522,51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47 197,59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13 687,30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17 197,59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4 987,30</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Заміна  внутрішньобудинкових мереж опалення (2612м.п./941м.п.)</w:t>
            </w:r>
          </w:p>
        </w:tc>
        <w:tc>
          <w:tcPr>
            <w:tcW w:w="0" w:type="auto"/>
            <w:tcBorders>
              <w:top w:val="nil"/>
              <w:left w:val="nil"/>
              <w:bottom w:val="single" w:sz="8" w:space="0" w:color="auto"/>
              <w:right w:val="single" w:sz="8" w:space="0" w:color="auto"/>
            </w:tcBorders>
            <w:shd w:val="clear" w:color="000000" w:fill="FFFFFF"/>
            <w:vAlign w:val="center"/>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832,3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Заміна на пластикові сталевих труб опалення, водопостачання та каналізації (6775 м.п. / 5273+3216): </w:t>
            </w:r>
          </w:p>
        </w:tc>
        <w:tc>
          <w:tcPr>
            <w:tcW w:w="0" w:type="auto"/>
            <w:tcBorders>
              <w:top w:val="nil"/>
              <w:left w:val="nil"/>
              <w:bottom w:val="single" w:sz="8" w:space="0" w:color="auto"/>
              <w:right w:val="single" w:sz="8" w:space="0" w:color="auto"/>
            </w:tcBorders>
            <w:shd w:val="clear" w:color="000000" w:fill="FFFFFF"/>
            <w:vAlign w:val="center"/>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1574,318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Заміна  внутрішньобудинкових мереж опалення (3845м.п./2994 м п.)</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Житлові будинки: вул.Батюка,62, 64, </w:t>
            </w:r>
            <w:r w:rsidRPr="00144E92">
              <w:rPr>
                <w:rFonts w:ascii="Times New Roman" w:eastAsia="Times New Roman" w:hAnsi="Times New Roman" w:cs="Times New Roman"/>
                <w:color w:val="000000"/>
                <w:sz w:val="16"/>
                <w:szCs w:val="16"/>
                <w:lang w:val="uk-UA" w:eastAsia="uk-UA"/>
              </w:rPr>
              <w:br/>
              <w:t xml:space="preserve">вул.Дарвіна, 11,15,17, </w:t>
            </w:r>
            <w:r w:rsidRPr="00144E92">
              <w:rPr>
                <w:rFonts w:ascii="Times New Roman" w:eastAsia="Times New Roman" w:hAnsi="Times New Roman" w:cs="Times New Roman"/>
                <w:color w:val="000000"/>
                <w:sz w:val="16"/>
                <w:szCs w:val="16"/>
                <w:lang w:val="uk-UA" w:eastAsia="uk-UA"/>
              </w:rPr>
              <w:br/>
              <w:t xml:space="preserve">вул.Марапульця, 39, 45, </w:t>
            </w:r>
            <w:r w:rsidRPr="00144E92">
              <w:rPr>
                <w:rFonts w:ascii="Times New Roman" w:eastAsia="Times New Roman" w:hAnsi="Times New Roman" w:cs="Times New Roman"/>
                <w:color w:val="000000"/>
                <w:sz w:val="16"/>
                <w:szCs w:val="16"/>
                <w:lang w:val="uk-UA" w:eastAsia="uk-UA"/>
              </w:rPr>
              <w:br/>
              <w:t>вул.Толстого,22, вул.Університетська, 32, 37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1025,04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Реконструкція системи опалення житлових будинків по вул. Б.Ступки (П.Комуни), 7,8,9, 11,12,13 і по вул. Конєва, </w:t>
            </w:r>
            <w:r w:rsidRPr="00144E92">
              <w:rPr>
                <w:rFonts w:ascii="Times New Roman" w:eastAsia="Times New Roman" w:hAnsi="Times New Roman" w:cs="Times New Roman"/>
                <w:color w:val="000000"/>
                <w:sz w:val="16"/>
                <w:szCs w:val="16"/>
                <w:lang w:val="uk-UA" w:eastAsia="uk-UA"/>
              </w:rPr>
              <w:lastRenderedPageBreak/>
              <w:t xml:space="preserve">2,3,5,7,8,9,10,14, м. Слов’янськ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1886,048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Заміна на пластикові сталевих труб опалення в багатоквартирних житлових будинках м.Слов'янськ</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261,41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системи опалення житлового будинку вул.Нарвська, 4 у м.Слов’янськ Донецької області</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292,30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 капітальний ремонт житлових будинків із застосуванням заходів з енергоефективності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Заміна на пластикові сталевих труб опалення в багатоквартирних житлових будинках м. Слов'янськ</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261,405є</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Ремонт сходових клітин, покрівель, міжпанельних швів, фасадів (у т.ч. цоколя), балконів, внутрішньобудинкових інженерних комунікацій</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11 537,20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Заміна на пластикові сталевих труб опалення в багатоквартирних житлових будинках м.Слов’янськ</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113,90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Стимулювання мешканців до реалізації енергоефективних заходів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Утеплення  фасадів  житлових  будинків, заміна вікон та вхідних дверей на енергоефективні, реконструкція  внутрішньобудинкових мереж опалення, заміна котлів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76 572,81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49 540,45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12 336,73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49 540,45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12 336,73</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Комплексна реконструкція теплового району</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Реконструкція системи теплопостачання споживачів з встановленням індивідуальних теплових пунктів Котельня м-ну Лісной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16 200,00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5 005,71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6 176,20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1 791,10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5 176,20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1 501,10</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Реконструкція системи опалення житлових </w:t>
            </w:r>
            <w:r w:rsidRPr="00144E92">
              <w:rPr>
                <w:rFonts w:ascii="Times New Roman" w:eastAsia="Times New Roman" w:hAnsi="Times New Roman" w:cs="Times New Roman"/>
                <w:color w:val="000000"/>
                <w:sz w:val="16"/>
                <w:szCs w:val="16"/>
                <w:lang w:val="uk-UA" w:eastAsia="uk-UA"/>
              </w:rPr>
              <w:lastRenderedPageBreak/>
              <w:t>будинків по вул. Б.Ступки (П.Комуни), 7,8,9,11,12, 13 та вул. Конєва, 2,3,5,7,8,9,10,14, м. Слов’янськ (в т.ч., розробка проектно-кошторисної документації)</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312,80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Будівництво модульної котельної по вул. Новий Побут м.Слов'янськ</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потужність котельні- 1,674 МВт, теплове навантаження, що підключається – 1,04 МВт</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5 005,71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Комплексна термомодернізація пілотних житлових будівель (ОСББ)</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Утеплення фасаду, даху, цоколю, заміна вікон та дверей, встановлення ІТП, промивка, гідравлічне балансування системи, заміна вікон на сходових клітках, відновлення теплової ізоляції трубопроводів, ремонт покрівель, заходи з санації інженерних мереж</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64 498,03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45 832,24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13 291,35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45 832,24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13 291,35</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gridSpan w:val="2"/>
            <w:tcBorders>
              <w:top w:val="single" w:sz="8" w:space="0" w:color="auto"/>
              <w:left w:val="nil"/>
              <w:bottom w:val="single" w:sz="8" w:space="0" w:color="auto"/>
              <w:right w:val="single" w:sz="8" w:space="0" w:color="000000"/>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4. Транспорт</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1 247 547,84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29 544,64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7 405,45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1 618,68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349,06</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4.1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Впровадження енергоефективних заходів на підприємстві</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Реконструкція системи опалення, заміна і утеплення вікон та дверей, заміна ламп розжарювання на енергоощадні лампи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3 300,00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43,80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43,16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13,81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23,16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6,948</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Заміна і утеплення вікон та дверей</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КП "Слов"янське  тролейбусне управління</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13,00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Заміна ламп розжарювання на енергоощадні лампи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КП "Слов"янське  тролейбусне управління</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2,10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Заміна і утеплення вікон та дверей</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КП "Слов"янське  тролейбусне управління</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Заміна ламп розжарювання на енергоощадні лампи</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КП "Слов"янське  тролейбусне управління</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6,50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Впровадження енергозберігаючого освітлення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5,50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Підвищення енергоефективності будівель (заміна вікон та дверей)</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7,50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4.2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Оптимізація схем руху міського транспорту</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Розроблення нової схеми руху громадського транспорту, переведення транспорту на зріджений газ</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2 347,84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264,58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63,4992</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264,58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63,4992</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nil"/>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4.3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Технічне переоснащення парку комунального транспорту</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Закупівля нових більш ефективних транспортних засобів, переведення транспорту на зріджений газ</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98 000,00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491,97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120,34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474,10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4.4</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Підвищення ефективності роботи тролейбусів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Розроблення нової схеми руху, покращення технічного стану тролейбусів та тягових підстанцій, закупівля електробусів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110 000,00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2 881,50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332,20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211,61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370,60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229,03</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Оновлення парку тролейбусів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придбання запчастин, матеріалів та комплектуючих (автошин), проведення капітальних, середніх та поточних ремонтів рухомого складу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898,40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Покращення технічного стану тролейбусів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141,50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Оновлення парку тролейбусів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придбання запчастин, матеріалів та комплектуючих (автошин), проведення капітальних, середніх та поточних ремонтів рухомого складу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983,40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lastRenderedPageBreak/>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Покращення технічного стану тролейбусів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188,00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Оновлення парку тролейбусів, у т.ч., придбання запасних частин, матеріалів та комплектуючих (автошин), проведення капітальних, середніх та поточних ремонтів рухомого складу тощо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670,20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4.5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Підвищення ефективності роботи пасажирського трансопрту</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Розроблення нової схеми руху, оновлення парку автобусів, перехід транспорту на більш ефективні види палива</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 процесі виконання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125 600,00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2 002,06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1 032,95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243,56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206,59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49,58</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Переобладнання автобусів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216,87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Оновлення рухомого складу шляхом придбання 6-ти автобусів.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987,40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xml:space="preserve">Переобладнання 4-х автобусів.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2017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797,78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4.6</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Використання велотранспорту</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Формування веломережі, розвиток велопарковок, заохочення до здорового способу життя</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2021</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6 800,00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428,20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107,18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267,80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4.7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Використання гібридних та електромобілів</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Перехід транспорту комунальних підприємств, громадського транспорту та автопарку міської ради на гібридні та електромобілі</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2023</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2030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1 500,00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12,30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3,08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11,85</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4.8</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Технічне переоснащення парку приватного транспорту</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Закупівля нових більш ефективних транспортних засобів, переведення транспорту на зріджений газ</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Не розпочато</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2020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2030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900 000,00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26 939,29</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6 642,37</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0,00</w:t>
            </w:r>
          </w:p>
        </w:tc>
      </w:tr>
      <w:tr w:rsidR="00144E92" w:rsidRPr="00144E92" w:rsidTr="000A2A2E">
        <w:trPr>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b/>
                <w:bCs/>
                <w:color w:val="000000"/>
                <w:sz w:val="16"/>
                <w:szCs w:val="16"/>
                <w:lang w:val="uk-UA" w:eastAsia="uk-UA"/>
              </w:rPr>
            </w:pPr>
            <w:r w:rsidRPr="00144E92">
              <w:rPr>
                <w:rFonts w:ascii="Times New Roman" w:eastAsia="Times New Roman" w:hAnsi="Times New Roman" w:cs="Times New Roman"/>
                <w:b/>
                <w:bCs/>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c>
          <w:tcPr>
            <w:tcW w:w="0" w:type="auto"/>
            <w:tcBorders>
              <w:top w:val="nil"/>
              <w:left w:val="nil"/>
              <w:bottom w:val="single" w:sz="8" w:space="0" w:color="auto"/>
              <w:right w:val="single" w:sz="8" w:space="0" w:color="auto"/>
            </w:tcBorders>
            <w:shd w:val="clear" w:color="000000" w:fill="FFFFFF"/>
            <w:vAlign w:val="center"/>
            <w:hideMark/>
          </w:tcPr>
          <w:p w:rsidR="00144E92" w:rsidRPr="00144E92" w:rsidRDefault="00144E92" w:rsidP="00144E92">
            <w:pPr>
              <w:spacing w:after="0" w:line="240" w:lineRule="auto"/>
              <w:jc w:val="center"/>
              <w:rPr>
                <w:rFonts w:ascii="Times New Roman" w:eastAsia="Times New Roman" w:hAnsi="Times New Roman" w:cs="Times New Roman"/>
                <w:color w:val="000000"/>
                <w:sz w:val="16"/>
                <w:szCs w:val="16"/>
                <w:lang w:val="uk-UA" w:eastAsia="uk-UA"/>
              </w:rPr>
            </w:pPr>
            <w:r w:rsidRPr="00144E92">
              <w:rPr>
                <w:rFonts w:ascii="Times New Roman" w:eastAsia="Times New Roman" w:hAnsi="Times New Roman" w:cs="Times New Roman"/>
                <w:color w:val="000000"/>
                <w:sz w:val="16"/>
                <w:szCs w:val="16"/>
                <w:lang w:val="uk-UA" w:eastAsia="uk-UA"/>
              </w:rPr>
              <w:t> </w:t>
            </w:r>
          </w:p>
        </w:tc>
      </w:tr>
    </w:tbl>
    <w:p w:rsidR="00144E92" w:rsidRPr="00144E92" w:rsidRDefault="00144E92" w:rsidP="00144E92">
      <w:pPr>
        <w:spacing w:after="0" w:line="240" w:lineRule="auto"/>
        <w:rPr>
          <w:rFonts w:ascii="Times New Roman" w:eastAsia="Times New Roman" w:hAnsi="Times New Roman" w:cs="Times New Roman"/>
          <w:bCs/>
          <w:noProof/>
          <w:sz w:val="28"/>
          <w:szCs w:val="28"/>
          <w:lang w:val="uk-UA" w:eastAsia="uk-UA"/>
        </w:rPr>
      </w:pPr>
      <w:bookmarkStart w:id="0" w:name="_GoBack"/>
      <w:bookmarkEnd w:id="0"/>
    </w:p>
    <w:sectPr w:rsidR="00144E92" w:rsidRPr="00144E92" w:rsidSect="008F0FFD">
      <w:pgSz w:w="16838" w:h="11906" w:orient="landscape"/>
      <w:pgMar w:top="851" w:right="851" w:bottom="1418"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4E92"/>
    <w:rsid w:val="00144E92"/>
    <w:rsid w:val="00591CE0"/>
    <w:rsid w:val="009527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74F40"/>
  <w15:chartTrackingRefBased/>
  <w15:docId w15:val="{09A8778F-F478-41C0-85E7-782A58A14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144E92"/>
  </w:style>
  <w:style w:type="paragraph" w:styleId="a3">
    <w:name w:val="List Paragraph"/>
    <w:basedOn w:val="a"/>
    <w:uiPriority w:val="34"/>
    <w:qFormat/>
    <w:rsid w:val="00144E92"/>
    <w:pPr>
      <w:spacing w:after="0" w:line="240" w:lineRule="auto"/>
      <w:ind w:left="720"/>
      <w:contextualSpacing/>
    </w:pPr>
    <w:rPr>
      <w:rFonts w:ascii="Times New Roman" w:eastAsia="Times New Roman" w:hAnsi="Times New Roman" w:cs="Times New Roman"/>
      <w:sz w:val="24"/>
      <w:szCs w:val="24"/>
      <w:lang w:val="uk-UA" w:eastAsia="uk-UA"/>
    </w:rPr>
  </w:style>
  <w:style w:type="character" w:customStyle="1" w:styleId="rvts7">
    <w:name w:val="rvts7"/>
    <w:rsid w:val="00144E92"/>
  </w:style>
  <w:style w:type="table" w:customStyle="1" w:styleId="-511">
    <w:name w:val="Таблиця-сітка 5 (темна) – акцент 11"/>
    <w:basedOn w:val="a1"/>
    <w:next w:val="a1"/>
    <w:uiPriority w:val="50"/>
    <w:rsid w:val="00144E92"/>
    <w:pPr>
      <w:spacing w:after="0" w:line="240" w:lineRule="auto"/>
    </w:pPr>
    <w:rPr>
      <w:rFonts w:eastAsia="Times New Roman"/>
      <w:lang w:val="uk-UA"/>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B1D2FB"/>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52F6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52F6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52F6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52F61"/>
      </w:tcPr>
    </w:tblStylePr>
    <w:tblStylePr w:type="band1Vert">
      <w:tblPr/>
      <w:tcPr>
        <w:shd w:val="clear" w:color="auto" w:fill="63A6F7"/>
      </w:tcPr>
    </w:tblStylePr>
    <w:tblStylePr w:type="band1Horz">
      <w:tblPr/>
      <w:tcPr>
        <w:shd w:val="clear" w:color="auto" w:fill="63A6F7"/>
      </w:tcPr>
    </w:tblStylePr>
  </w:style>
  <w:style w:type="table" w:customStyle="1" w:styleId="-211">
    <w:name w:val="Таблиця-список 2 – акцент 11"/>
    <w:basedOn w:val="a1"/>
    <w:uiPriority w:val="47"/>
    <w:rsid w:val="00144E92"/>
    <w:pPr>
      <w:spacing w:before="100" w:after="0" w:line="240" w:lineRule="auto"/>
    </w:pPr>
    <w:rPr>
      <w:rFonts w:eastAsia="Times New Roman"/>
      <w:sz w:val="20"/>
      <w:szCs w:val="20"/>
      <w:lang w:val="uk-UA"/>
    </w:rPr>
    <w:tblPr>
      <w:tblStyleRowBandSize w:val="1"/>
      <w:tblStyleColBandSize w:val="1"/>
      <w:tblBorders>
        <w:top w:val="single" w:sz="4" w:space="0" w:color="95B3D7"/>
        <w:bottom w:val="single" w:sz="4" w:space="0" w:color="95B3D7"/>
        <w:insideH w:val="single" w:sz="4" w:space="0" w:color="95B3D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styleId="a4">
    <w:name w:val="header"/>
    <w:basedOn w:val="a"/>
    <w:link w:val="a5"/>
    <w:uiPriority w:val="99"/>
    <w:unhideWhenUsed/>
    <w:rsid w:val="00144E92"/>
    <w:pPr>
      <w:tabs>
        <w:tab w:val="center" w:pos="4677"/>
        <w:tab w:val="right" w:pos="9355"/>
      </w:tabs>
      <w:spacing w:after="0" w:line="240" w:lineRule="auto"/>
    </w:pPr>
    <w:rPr>
      <w:rFonts w:ascii="Times New Roman" w:eastAsia="Times New Roman" w:hAnsi="Times New Roman" w:cs="Times New Roman"/>
      <w:sz w:val="24"/>
      <w:szCs w:val="24"/>
      <w:lang w:val="uk-UA" w:eastAsia="uk-UA"/>
    </w:rPr>
  </w:style>
  <w:style w:type="character" w:customStyle="1" w:styleId="a5">
    <w:name w:val="Верхний колонтитул Знак"/>
    <w:basedOn w:val="a0"/>
    <w:link w:val="a4"/>
    <w:uiPriority w:val="99"/>
    <w:rsid w:val="00144E92"/>
    <w:rPr>
      <w:rFonts w:ascii="Times New Roman" w:eastAsia="Times New Roman" w:hAnsi="Times New Roman" w:cs="Times New Roman"/>
      <w:sz w:val="24"/>
      <w:szCs w:val="24"/>
      <w:lang w:val="uk-UA" w:eastAsia="uk-UA"/>
    </w:rPr>
  </w:style>
  <w:style w:type="paragraph" w:styleId="a6">
    <w:name w:val="footer"/>
    <w:basedOn w:val="a"/>
    <w:link w:val="a7"/>
    <w:uiPriority w:val="99"/>
    <w:unhideWhenUsed/>
    <w:rsid w:val="00144E92"/>
    <w:pPr>
      <w:tabs>
        <w:tab w:val="center" w:pos="4677"/>
        <w:tab w:val="right" w:pos="9355"/>
      </w:tabs>
      <w:spacing w:after="0" w:line="240" w:lineRule="auto"/>
    </w:pPr>
    <w:rPr>
      <w:rFonts w:ascii="Times New Roman" w:eastAsia="Times New Roman" w:hAnsi="Times New Roman" w:cs="Times New Roman"/>
      <w:sz w:val="24"/>
      <w:szCs w:val="24"/>
      <w:lang w:val="uk-UA" w:eastAsia="uk-UA"/>
    </w:rPr>
  </w:style>
  <w:style w:type="character" w:customStyle="1" w:styleId="a7">
    <w:name w:val="Нижний колонтитул Знак"/>
    <w:basedOn w:val="a0"/>
    <w:link w:val="a6"/>
    <w:uiPriority w:val="99"/>
    <w:rsid w:val="00144E92"/>
    <w:rPr>
      <w:rFonts w:ascii="Times New Roman" w:eastAsia="Times New Roman" w:hAnsi="Times New Roman" w:cs="Times New Roman"/>
      <w:sz w:val="24"/>
      <w:szCs w:val="24"/>
      <w:lang w:val="uk-UA" w:eastAsia="uk-UA"/>
    </w:rPr>
  </w:style>
  <w:style w:type="character" w:styleId="a8">
    <w:name w:val="Hyperlink"/>
    <w:basedOn w:val="a0"/>
    <w:uiPriority w:val="99"/>
    <w:semiHidden/>
    <w:unhideWhenUsed/>
    <w:rsid w:val="00144E92"/>
    <w:rPr>
      <w:color w:val="0D2E46"/>
      <w:u w:val="single"/>
    </w:rPr>
  </w:style>
  <w:style w:type="character" w:styleId="a9">
    <w:name w:val="FollowedHyperlink"/>
    <w:basedOn w:val="a0"/>
    <w:uiPriority w:val="99"/>
    <w:semiHidden/>
    <w:unhideWhenUsed/>
    <w:rsid w:val="00144E92"/>
    <w:rPr>
      <w:color w:val="356A95"/>
      <w:u w:val="single"/>
    </w:rPr>
  </w:style>
  <w:style w:type="paragraph" w:customStyle="1" w:styleId="msonormal0">
    <w:name w:val="msonormal"/>
    <w:basedOn w:val="a"/>
    <w:rsid w:val="00144E92"/>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font5">
    <w:name w:val="font5"/>
    <w:basedOn w:val="a"/>
    <w:rsid w:val="00144E92"/>
    <w:pPr>
      <w:spacing w:before="100" w:beforeAutospacing="1" w:after="100" w:afterAutospacing="1" w:line="240" w:lineRule="auto"/>
    </w:pPr>
    <w:rPr>
      <w:rFonts w:ascii="Times New Roman" w:eastAsia="Times New Roman" w:hAnsi="Times New Roman" w:cs="Times New Roman"/>
      <w:color w:val="000000"/>
      <w:sz w:val="20"/>
      <w:szCs w:val="20"/>
      <w:lang w:val="uk-UA" w:eastAsia="uk-UA"/>
    </w:rPr>
  </w:style>
  <w:style w:type="paragraph" w:customStyle="1" w:styleId="font6">
    <w:name w:val="font6"/>
    <w:basedOn w:val="a"/>
    <w:rsid w:val="00144E92"/>
    <w:pPr>
      <w:spacing w:before="100" w:beforeAutospacing="1" w:after="100" w:afterAutospacing="1" w:line="240" w:lineRule="auto"/>
    </w:pPr>
    <w:rPr>
      <w:rFonts w:ascii="Times New Roman" w:eastAsia="Times New Roman" w:hAnsi="Times New Roman" w:cs="Times New Roman"/>
      <w:color w:val="000000"/>
      <w:sz w:val="18"/>
      <w:szCs w:val="18"/>
      <w:lang w:val="uk-UA" w:eastAsia="uk-UA"/>
    </w:rPr>
  </w:style>
  <w:style w:type="paragraph" w:customStyle="1" w:styleId="font7">
    <w:name w:val="font7"/>
    <w:basedOn w:val="a"/>
    <w:rsid w:val="00144E92"/>
    <w:pPr>
      <w:spacing w:before="100" w:beforeAutospacing="1" w:after="100" w:afterAutospacing="1" w:line="240" w:lineRule="auto"/>
    </w:pPr>
    <w:rPr>
      <w:rFonts w:ascii="Times New Roman" w:eastAsia="Times New Roman" w:hAnsi="Times New Roman" w:cs="Times New Roman"/>
      <w:color w:val="000000"/>
      <w:sz w:val="24"/>
      <w:szCs w:val="24"/>
      <w:lang w:val="uk-UA" w:eastAsia="uk-UA"/>
    </w:rPr>
  </w:style>
  <w:style w:type="paragraph" w:customStyle="1" w:styleId="font8">
    <w:name w:val="font8"/>
    <w:basedOn w:val="a"/>
    <w:rsid w:val="00144E92"/>
    <w:pPr>
      <w:spacing w:before="100" w:beforeAutospacing="1" w:after="100" w:afterAutospacing="1" w:line="240" w:lineRule="auto"/>
    </w:pPr>
    <w:rPr>
      <w:rFonts w:ascii="Times New Roman" w:eastAsia="Times New Roman" w:hAnsi="Times New Roman" w:cs="Times New Roman"/>
      <w:b/>
      <w:bCs/>
      <w:color w:val="000000"/>
      <w:sz w:val="18"/>
      <w:szCs w:val="18"/>
      <w:lang w:val="uk-UA" w:eastAsia="uk-UA"/>
    </w:rPr>
  </w:style>
  <w:style w:type="paragraph" w:customStyle="1" w:styleId="xl65">
    <w:name w:val="xl65"/>
    <w:basedOn w:val="a"/>
    <w:rsid w:val="00144E92"/>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xl66">
    <w:name w:val="xl66"/>
    <w:basedOn w:val="a"/>
    <w:rsid w:val="00144E92"/>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uk-UA" w:eastAsia="uk-UA"/>
    </w:rPr>
  </w:style>
  <w:style w:type="paragraph" w:customStyle="1" w:styleId="xl67">
    <w:name w:val="xl67"/>
    <w:basedOn w:val="a"/>
    <w:rsid w:val="00144E92"/>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68">
    <w:name w:val="xl68"/>
    <w:basedOn w:val="a"/>
    <w:rsid w:val="00144E92"/>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69">
    <w:name w:val="xl69"/>
    <w:basedOn w:val="a"/>
    <w:rsid w:val="00144E92"/>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uk-UA" w:eastAsia="uk-UA"/>
    </w:rPr>
  </w:style>
  <w:style w:type="paragraph" w:customStyle="1" w:styleId="xl70">
    <w:name w:val="xl70"/>
    <w:basedOn w:val="a"/>
    <w:rsid w:val="00144E9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uk-UA" w:eastAsia="uk-UA"/>
    </w:rPr>
  </w:style>
  <w:style w:type="paragraph" w:customStyle="1" w:styleId="xl71">
    <w:name w:val="xl71"/>
    <w:basedOn w:val="a"/>
    <w:rsid w:val="00144E92"/>
    <w:pPr>
      <w:spacing w:before="100" w:beforeAutospacing="1" w:after="100" w:afterAutospacing="1" w:line="240" w:lineRule="auto"/>
      <w:jc w:val="center"/>
      <w:textAlignment w:val="center"/>
    </w:pPr>
    <w:rPr>
      <w:rFonts w:ascii="Times New Roman" w:eastAsia="Times New Roman" w:hAnsi="Times New Roman" w:cs="Times New Roman"/>
      <w:sz w:val="24"/>
      <w:szCs w:val="24"/>
      <w:lang w:val="uk-UA" w:eastAsia="uk-UA"/>
    </w:rPr>
  </w:style>
  <w:style w:type="paragraph" w:customStyle="1" w:styleId="xl72">
    <w:name w:val="xl72"/>
    <w:basedOn w:val="a"/>
    <w:rsid w:val="00144E92"/>
    <w:pPr>
      <w:spacing w:before="100" w:beforeAutospacing="1" w:after="100" w:afterAutospacing="1" w:line="240" w:lineRule="auto"/>
      <w:jc w:val="center"/>
      <w:textAlignment w:val="center"/>
    </w:pPr>
    <w:rPr>
      <w:rFonts w:ascii="Times New Roman" w:eastAsia="Times New Roman" w:hAnsi="Times New Roman" w:cs="Times New Roman"/>
      <w:sz w:val="24"/>
      <w:szCs w:val="24"/>
      <w:lang w:val="uk-UA" w:eastAsia="uk-UA"/>
    </w:rPr>
  </w:style>
  <w:style w:type="paragraph" w:customStyle="1" w:styleId="xl73">
    <w:name w:val="xl73"/>
    <w:basedOn w:val="a"/>
    <w:rsid w:val="00144E92"/>
    <w:pPr>
      <w:spacing w:before="100" w:beforeAutospacing="1" w:after="100" w:afterAutospacing="1" w:line="240" w:lineRule="auto"/>
      <w:textAlignment w:val="center"/>
    </w:pPr>
    <w:rPr>
      <w:rFonts w:ascii="Times New Roman" w:eastAsia="Times New Roman" w:hAnsi="Times New Roman" w:cs="Times New Roman"/>
      <w:sz w:val="24"/>
      <w:szCs w:val="24"/>
      <w:lang w:val="uk-UA" w:eastAsia="uk-UA"/>
    </w:rPr>
  </w:style>
  <w:style w:type="paragraph" w:customStyle="1" w:styleId="xl74">
    <w:name w:val="xl74"/>
    <w:basedOn w:val="a"/>
    <w:rsid w:val="00144E92"/>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75">
    <w:name w:val="xl75"/>
    <w:basedOn w:val="a"/>
    <w:rsid w:val="00144E9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8"/>
      <w:szCs w:val="18"/>
      <w:lang w:val="uk-UA" w:eastAsia="uk-UA"/>
    </w:rPr>
  </w:style>
  <w:style w:type="paragraph" w:customStyle="1" w:styleId="xl76">
    <w:name w:val="xl76"/>
    <w:basedOn w:val="a"/>
    <w:rsid w:val="00144E9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val="uk-UA" w:eastAsia="uk-UA"/>
    </w:rPr>
  </w:style>
  <w:style w:type="paragraph" w:customStyle="1" w:styleId="xl77">
    <w:name w:val="xl77"/>
    <w:basedOn w:val="a"/>
    <w:rsid w:val="00144E92"/>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val="uk-UA" w:eastAsia="uk-UA"/>
    </w:rPr>
  </w:style>
  <w:style w:type="paragraph" w:customStyle="1" w:styleId="xl78">
    <w:name w:val="xl78"/>
    <w:basedOn w:val="a"/>
    <w:rsid w:val="00144E92"/>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val="uk-UA" w:eastAsia="uk-UA"/>
    </w:rPr>
  </w:style>
  <w:style w:type="paragraph" w:customStyle="1" w:styleId="xl79">
    <w:name w:val="xl79"/>
    <w:basedOn w:val="a"/>
    <w:rsid w:val="00144E92"/>
    <w:pPr>
      <w:shd w:val="clear" w:color="000000" w:fill="FFFFFF"/>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xl80">
    <w:name w:val="xl80"/>
    <w:basedOn w:val="a"/>
    <w:rsid w:val="00144E92"/>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uk-UA" w:eastAsia="uk-UA"/>
    </w:rPr>
  </w:style>
  <w:style w:type="paragraph" w:customStyle="1" w:styleId="xl81">
    <w:name w:val="xl81"/>
    <w:basedOn w:val="a"/>
    <w:rsid w:val="00144E92"/>
    <w:pPr>
      <w:pBdr>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uk-UA" w:eastAsia="uk-UA"/>
    </w:rPr>
  </w:style>
  <w:style w:type="paragraph" w:customStyle="1" w:styleId="xl82">
    <w:name w:val="xl82"/>
    <w:basedOn w:val="a"/>
    <w:rsid w:val="00144E92"/>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uk-UA" w:eastAsia="uk-UA"/>
    </w:rPr>
  </w:style>
  <w:style w:type="paragraph" w:customStyle="1" w:styleId="xl83">
    <w:name w:val="xl83"/>
    <w:basedOn w:val="a"/>
    <w:rsid w:val="00144E92"/>
    <w:pPr>
      <w:pBdr>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val="uk-UA" w:eastAsia="uk-UA"/>
    </w:rPr>
  </w:style>
  <w:style w:type="paragraph" w:customStyle="1" w:styleId="xl84">
    <w:name w:val="xl84"/>
    <w:basedOn w:val="a"/>
    <w:rsid w:val="00144E92"/>
    <w:pPr>
      <w:pBdr>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85">
    <w:name w:val="xl85"/>
    <w:basedOn w:val="a"/>
    <w:rsid w:val="00144E92"/>
    <w:pPr>
      <w:pBdr>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val="uk-UA" w:eastAsia="uk-UA"/>
    </w:rPr>
  </w:style>
  <w:style w:type="paragraph" w:customStyle="1" w:styleId="xl86">
    <w:name w:val="xl86"/>
    <w:basedOn w:val="a"/>
    <w:rsid w:val="00144E9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val="uk-UA" w:eastAsia="uk-UA"/>
    </w:rPr>
  </w:style>
  <w:style w:type="paragraph" w:customStyle="1" w:styleId="xl87">
    <w:name w:val="xl87"/>
    <w:basedOn w:val="a"/>
    <w:rsid w:val="00144E9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val="uk-UA" w:eastAsia="uk-UA"/>
    </w:rPr>
  </w:style>
  <w:style w:type="paragraph" w:customStyle="1" w:styleId="xl88">
    <w:name w:val="xl88"/>
    <w:basedOn w:val="a"/>
    <w:rsid w:val="00144E92"/>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val="uk-UA" w:eastAsia="uk-UA"/>
    </w:rPr>
  </w:style>
  <w:style w:type="paragraph" w:customStyle="1" w:styleId="xl89">
    <w:name w:val="xl89"/>
    <w:basedOn w:val="a"/>
    <w:rsid w:val="00144E92"/>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18"/>
      <w:szCs w:val="18"/>
      <w:lang w:val="uk-UA" w:eastAsia="uk-UA"/>
    </w:rPr>
  </w:style>
  <w:style w:type="paragraph" w:customStyle="1" w:styleId="xl90">
    <w:name w:val="xl90"/>
    <w:basedOn w:val="a"/>
    <w:rsid w:val="00144E92"/>
    <w:pPr>
      <w:pBdr>
        <w:top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18"/>
      <w:szCs w:val="18"/>
      <w:lang w:val="uk-UA" w:eastAsia="uk-UA"/>
    </w:rPr>
  </w:style>
  <w:style w:type="paragraph" w:customStyle="1" w:styleId="xl91">
    <w:name w:val="xl91"/>
    <w:basedOn w:val="a"/>
    <w:rsid w:val="00144E92"/>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92">
    <w:name w:val="xl92"/>
    <w:basedOn w:val="a"/>
    <w:rsid w:val="00144E92"/>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93">
    <w:name w:val="xl93"/>
    <w:basedOn w:val="a"/>
    <w:rsid w:val="00144E92"/>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94">
    <w:name w:val="xl94"/>
    <w:basedOn w:val="a"/>
    <w:rsid w:val="00144E92"/>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95">
    <w:name w:val="xl95"/>
    <w:basedOn w:val="a"/>
    <w:rsid w:val="00144E9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96">
    <w:name w:val="xl96"/>
    <w:basedOn w:val="a"/>
    <w:rsid w:val="00144E92"/>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97">
    <w:name w:val="xl97"/>
    <w:basedOn w:val="a"/>
    <w:rsid w:val="00144E9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98">
    <w:name w:val="xl98"/>
    <w:basedOn w:val="a"/>
    <w:rsid w:val="00144E92"/>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99">
    <w:name w:val="xl99"/>
    <w:basedOn w:val="a"/>
    <w:rsid w:val="00144E92"/>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100">
    <w:name w:val="xl100"/>
    <w:basedOn w:val="a"/>
    <w:rsid w:val="00144E92"/>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101">
    <w:name w:val="xl101"/>
    <w:basedOn w:val="a"/>
    <w:rsid w:val="00144E92"/>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uk-UA" w:eastAsia="uk-UA"/>
    </w:rPr>
  </w:style>
  <w:style w:type="paragraph" w:customStyle="1" w:styleId="xl102">
    <w:name w:val="xl102"/>
    <w:basedOn w:val="a"/>
    <w:rsid w:val="00144E92"/>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color w:val="000000"/>
      <w:sz w:val="24"/>
      <w:szCs w:val="24"/>
      <w:lang w:val="uk-UA" w:eastAsia="uk-UA"/>
    </w:rPr>
  </w:style>
  <w:style w:type="paragraph" w:customStyle="1" w:styleId="xl103">
    <w:name w:val="xl103"/>
    <w:basedOn w:val="a"/>
    <w:rsid w:val="00144E92"/>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uk-UA" w:eastAsia="uk-UA"/>
    </w:rPr>
  </w:style>
  <w:style w:type="paragraph" w:customStyle="1" w:styleId="xl104">
    <w:name w:val="xl104"/>
    <w:basedOn w:val="a"/>
    <w:rsid w:val="00144E92"/>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uk-UA" w:eastAsia="uk-UA"/>
    </w:rPr>
  </w:style>
  <w:style w:type="paragraph" w:customStyle="1" w:styleId="xl105">
    <w:name w:val="xl105"/>
    <w:basedOn w:val="a"/>
    <w:rsid w:val="00144E92"/>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color w:val="000000"/>
      <w:sz w:val="24"/>
      <w:szCs w:val="24"/>
      <w:lang w:val="uk-UA" w:eastAsia="uk-UA"/>
    </w:rPr>
  </w:style>
  <w:style w:type="paragraph" w:customStyle="1" w:styleId="xl106">
    <w:name w:val="xl106"/>
    <w:basedOn w:val="a"/>
    <w:rsid w:val="00144E9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uk-UA" w:eastAsia="uk-UA"/>
    </w:rPr>
  </w:style>
  <w:style w:type="paragraph" w:customStyle="1" w:styleId="xl107">
    <w:name w:val="xl107"/>
    <w:basedOn w:val="a"/>
    <w:rsid w:val="00144E9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8"/>
      <w:szCs w:val="18"/>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4050</Words>
  <Characters>23089</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папа</dc:creator>
  <cp:keywords/>
  <dc:description/>
  <cp:lastModifiedBy>папа</cp:lastModifiedBy>
  <cp:revision>1</cp:revision>
  <dcterms:created xsi:type="dcterms:W3CDTF">2020-09-10T12:11:00Z</dcterms:created>
  <dcterms:modified xsi:type="dcterms:W3CDTF">2020-09-10T12:12:00Z</dcterms:modified>
</cp:coreProperties>
</file>