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23"/>
        <w:spacing w:before="100" w:after="100"/>
        <w:jc w:val="both"/>
        <w:rPr/>
      </w:pPr>
      <w:r>
        <w:rPr/>
        <w:tab/>
        <w:t xml:space="preserve">                                                                                                      </w:t>
      </w:r>
      <w:r>
        <w:rPr>
          <w:lang w:val="uk-UA"/>
        </w:rPr>
        <w:t xml:space="preserve">Додаток до рішення </w:t>
      </w:r>
    </w:p>
    <w:p>
      <w:pPr>
        <w:pStyle w:val="Style23"/>
        <w:jc w:val="both"/>
        <w:rPr/>
      </w:pPr>
      <w:r>
        <w:rPr>
          <w:lang w:val="uk-UA"/>
        </w:rPr>
        <w:t xml:space="preserve">                                                                                                 </w:t>
      </w:r>
      <w:r>
        <w:rPr>
          <w:lang w:val="uk-UA"/>
        </w:rPr>
        <w:t xml:space="preserve">від </w:t>
      </w:r>
      <w:r>
        <w:rPr>
          <w:lang w:val="uk-UA"/>
        </w:rPr>
        <w:t>04.03.2020 р.</w:t>
      </w:r>
      <w:r>
        <w:rPr>
          <w:lang w:val="uk-UA"/>
        </w:rPr>
        <w:t>№</w:t>
      </w:r>
      <w:r>
        <w:rPr>
          <w:lang w:val="uk-UA"/>
        </w:rPr>
        <w:t>31-</w:t>
      </w:r>
      <w:r>
        <w:rPr>
          <w:lang w:val="en-US"/>
        </w:rPr>
        <w:t>LXXX-7</w:t>
      </w:r>
      <w:r>
        <w:rPr>
          <w:lang w:val="uk-UA"/>
        </w:rPr>
        <w:t xml:space="preserve">                                         </w:t>
      </w:r>
    </w:p>
    <w:p>
      <w:pPr>
        <w:pStyle w:val="Style23"/>
        <w:jc w:val="both"/>
        <w:rPr>
          <w:lang w:val="uk-UA"/>
        </w:rPr>
      </w:pPr>
      <w:r>
        <w:rPr>
          <w:lang w:val="uk-UA"/>
        </w:rPr>
      </w:r>
    </w:p>
    <w:p>
      <w:pPr>
        <w:pStyle w:val="Style23"/>
        <w:jc w:val="center"/>
        <w:rPr>
          <w:lang w:val="uk-UA"/>
        </w:rPr>
      </w:pPr>
      <w:r>
        <w:rPr>
          <w:b/>
          <w:bCs/>
          <w:lang w:val="uk-UA"/>
        </w:rPr>
        <w:t xml:space="preserve">Звіт Слов’янського міського голови про здійснення державної регуляторної політики виконавчими органами Слов’янської міської ради у 2019 році </w:t>
      </w:r>
    </w:p>
    <w:p>
      <w:pPr>
        <w:pStyle w:val="Style23"/>
        <w:jc w:val="both"/>
        <w:rPr>
          <w:lang w:val="uk-UA"/>
        </w:rPr>
      </w:pPr>
      <w:r>
        <w:rPr>
          <w:lang w:val="uk-UA"/>
        </w:rPr>
        <w:tab/>
        <w:t>У 2019 році формування та провадження прозорої та якісної регуляторної політики, як інструмента адміністративної реформи було одним із пріоритетних напрямків роботи органів місцевого самоврядування м. Слов'янську.</w:t>
      </w:r>
    </w:p>
    <w:p>
      <w:pPr>
        <w:pStyle w:val="Style23"/>
        <w:jc w:val="both"/>
        <w:rPr>
          <w:lang w:val="uk-UA"/>
        </w:rPr>
      </w:pPr>
      <w:r>
        <w:rPr>
          <w:lang w:val="uk-UA"/>
        </w:rPr>
        <w:tab/>
        <w:t xml:space="preserve">Реалізація державної регуляторної політики Слов'янською  міською радою, її виконавчим комітетом за рік здійснювалася у відповідності до законів України «Про засади державної регуляторної політики у сфері господарської діяльності» (далі – Закон), «Про місцеве самоврядування в Україні». </w:t>
      </w:r>
    </w:p>
    <w:p>
      <w:pPr>
        <w:pStyle w:val="Style23"/>
        <w:jc w:val="both"/>
        <w:rPr>
          <w:lang w:val="uk-UA"/>
        </w:rPr>
      </w:pPr>
      <w:r>
        <w:rPr>
          <w:lang w:val="uk-UA"/>
        </w:rPr>
        <w:tab/>
        <w:t>З метою послідовного провадження державної регуляторної політики Слов'янською  міською радою та її виконкомом проводилася робота у таких напрямках:</w:t>
      </w:r>
    </w:p>
    <w:p>
      <w:pPr>
        <w:pStyle w:val="Normal"/>
        <w:jc w:val="both"/>
        <w:rPr>
          <w:lang w:val="uk-UA"/>
        </w:rPr>
      </w:pPr>
      <w:r>
        <w:rPr>
          <w:lang w:val="uk-UA"/>
        </w:rPr>
        <w:t>- розробка планів діяльності з підготовки проектів регуляторних актів;</w:t>
      </w:r>
    </w:p>
    <w:p>
      <w:pPr>
        <w:pStyle w:val="Normal"/>
        <w:jc w:val="both"/>
        <w:rPr>
          <w:lang w:val="uk-UA"/>
        </w:rPr>
      </w:pPr>
      <w:r>
        <w:rPr>
          <w:lang w:val="uk-UA"/>
        </w:rPr>
        <w:t>- підготовка та оприлюднення інформації у процесі здійснення регуляторної діяльності;</w:t>
      </w:r>
    </w:p>
    <w:p>
      <w:pPr>
        <w:pStyle w:val="Normal"/>
        <w:jc w:val="both"/>
        <w:rPr>
          <w:lang w:val="uk-UA"/>
        </w:rPr>
      </w:pPr>
      <w:r>
        <w:rPr>
          <w:lang w:val="uk-UA"/>
        </w:rPr>
        <w:t>- підтримка в актуальному стані реєстру діючих регуляторних актів;</w:t>
      </w:r>
    </w:p>
    <w:p>
      <w:pPr>
        <w:pStyle w:val="Normal"/>
        <w:jc w:val="both"/>
        <w:rPr>
          <w:lang w:val="uk-UA"/>
        </w:rPr>
      </w:pPr>
      <w:r>
        <w:rPr>
          <w:lang w:val="uk-UA"/>
        </w:rPr>
        <w:t>- проведення відстеження результативності регуляторних актів;</w:t>
      </w:r>
    </w:p>
    <w:p>
      <w:pPr>
        <w:pStyle w:val="Normal"/>
        <w:jc w:val="both"/>
        <w:rPr>
          <w:lang w:val="uk-UA"/>
        </w:rPr>
      </w:pPr>
      <w:r>
        <w:rPr>
          <w:lang w:val="uk-UA"/>
        </w:rPr>
        <w:t>- здійснення перегляду регуляторних актів.</w:t>
      </w:r>
    </w:p>
    <w:p>
      <w:pPr>
        <w:pStyle w:val="Normal"/>
        <w:jc w:val="both"/>
        <w:rPr>
          <w:lang w:val="uk-UA"/>
        </w:rPr>
      </w:pPr>
      <w:r>
        <w:rPr>
          <w:lang w:val="uk-UA"/>
        </w:rPr>
        <w:tab/>
      </w:r>
      <w:r>
        <w:rPr>
          <w:b/>
          <w:bCs/>
          <w:lang w:val="uk-UA"/>
        </w:rPr>
        <w:t>Розробка планів діяльності з підготовки проектів регуляторних актів</w:t>
      </w:r>
    </w:p>
    <w:p>
      <w:pPr>
        <w:pStyle w:val="Normal"/>
        <w:jc w:val="both"/>
        <w:rPr>
          <w:lang w:val="uk-UA"/>
        </w:rPr>
      </w:pPr>
      <w:r>
        <w:rPr>
          <w:lang w:val="uk-UA"/>
        </w:rPr>
        <w:tab/>
        <w:t xml:space="preserve">Реалізація завдань, пов’язаних з виконанням Закону України «Про засади державної регуляторної політики у сфері господарської діяльності» (далі - Закон), здійснюється згідно з планами діяльності з підготовки проектів регуляторних актів на 2019 рік, затвердженими рішеннями міської ради та виконавчого комітету та внесеними змінами протягом звітного періоду до них: </w:t>
      </w:r>
    </w:p>
    <w:p>
      <w:pPr>
        <w:pStyle w:val="Normal"/>
        <w:jc w:val="both"/>
        <w:rPr>
          <w:lang w:val="uk-UA"/>
        </w:rPr>
      </w:pPr>
      <w:r>
        <w:rPr>
          <w:lang w:val="uk-UA"/>
        </w:rPr>
        <w:tab/>
        <w:t>− рішення виконавчого комітету «Про затвердження плану роботи виконавчого комітету з підготовки проектів регуляторних актів на 2019 рік» від 05.12.2018 №1124 (зі змінами);</w:t>
      </w:r>
    </w:p>
    <w:p>
      <w:pPr>
        <w:pStyle w:val="Normal"/>
        <w:jc w:val="both"/>
        <w:rPr>
          <w:lang w:val="uk-UA"/>
        </w:rPr>
      </w:pPr>
      <w:r>
        <w:rPr>
          <w:lang w:val="uk-UA"/>
        </w:rPr>
        <w:t xml:space="preserve"> </w:t>
      </w:r>
      <w:r>
        <w:rPr>
          <w:lang w:val="uk-UA"/>
        </w:rPr>
        <w:tab/>
        <w:t>- рішення міської ради «Про затвердження плану роботи міської ради з підготовки проектів регуляторних актів на 2019 рік» від 05.11.2018 № 8-LXVII-7 (зі змінами).</w:t>
      </w:r>
    </w:p>
    <w:p>
      <w:pPr>
        <w:pStyle w:val="Normal"/>
        <w:jc w:val="both"/>
        <w:rPr>
          <w:lang w:val="uk-UA"/>
        </w:rPr>
      </w:pPr>
      <w:r>
        <w:rPr>
          <w:lang w:val="uk-UA"/>
        </w:rPr>
        <w:tab/>
        <w:t xml:space="preserve">За пропозиціями відділів та підрозділів Слов'янської міської ради  станом на 25.07.2019 план роботи Слов'янської міської ради з підготовки проектів регуляторних актів містив 11 проектів регуляторних актів. Протягом року було прийнято 3 рішення міської ради про внесення змін до плану, які оприлюднювалися відповідно до  ст.13 Закону. Вказане свідчить, що протягом року міська рада дотримувалася принципу передбачуваності регуляторної діяльності. </w:t>
      </w:r>
    </w:p>
    <w:p>
      <w:pPr>
        <w:pStyle w:val="Normal"/>
        <w:jc w:val="both"/>
        <w:rPr>
          <w:lang w:val="uk-UA"/>
        </w:rPr>
      </w:pPr>
      <w:r>
        <w:rPr>
          <w:lang w:val="uk-UA"/>
        </w:rPr>
        <w:tab/>
        <w:t xml:space="preserve">План роботи виконавчого комітету  містив 3 проекти регуляторних актів, протягом року було прийнято 2 рішення виконавчого комітету про внесення змін до плану роботи виконавчого комітету Слов'янської міської ради на 2019 рік. </w:t>
      </w:r>
    </w:p>
    <w:p>
      <w:pPr>
        <w:pStyle w:val="Normal"/>
        <w:jc w:val="both"/>
        <w:rPr/>
      </w:pPr>
      <w:r>
        <w:rPr>
          <w:rStyle w:val="Style14"/>
          <w:b w:val="false"/>
          <w:bCs w:val="false"/>
          <w:lang w:val="uk-UA"/>
        </w:rPr>
        <w:tab/>
        <w:t xml:space="preserve">Відповідно до  постанови Кабінету Міністрів України  від 21 жовтня   2015 р. № 835 “Про затвердження  Положення про набори даних, які підлягають оприлюдненню у формі відкритих даних” (зі змінами) управлінням економічного та інвестиційного розвитку оприлюднено план роботи з підготовки проектів регуляторних актів міською радою та її виконавчим комітетом на відкритому порталі даних за посиланням: </w:t>
      </w:r>
      <w:hyperlink r:id="rId2">
        <w:r>
          <w:rPr>
            <w:rStyle w:val="Style14"/>
            <w:b w:val="false"/>
            <w:bCs w:val="false"/>
            <w:lang w:val="uk-UA"/>
          </w:rPr>
          <w:t>https://data.gov.ua/dataset/7a787ce8-36f3-439f-ae92-fc53d9ddcf79</w:t>
        </w:r>
      </w:hyperlink>
      <w:r>
        <w:rPr>
          <w:rStyle w:val="Style14"/>
          <w:b w:val="false"/>
          <w:bCs w:val="false"/>
          <w:lang w:val="uk-UA"/>
        </w:rPr>
        <w:t xml:space="preserve"> </w:t>
      </w:r>
    </w:p>
    <w:p>
      <w:pPr>
        <w:pStyle w:val="Normal"/>
        <w:jc w:val="center"/>
        <w:rPr>
          <w:lang w:val="uk-UA"/>
        </w:rPr>
      </w:pPr>
      <w:r>
        <w:rPr>
          <w:rStyle w:val="Style14"/>
          <w:lang w:val="uk-UA"/>
        </w:rPr>
        <w:t>Підготовка та оприлюднення інформації у процесі здійснення регуляторної діяльності</w:t>
      </w:r>
    </w:p>
    <w:p>
      <w:pPr>
        <w:pStyle w:val="Normal"/>
        <w:jc w:val="both"/>
        <w:rPr>
          <w:lang w:val="uk-UA"/>
        </w:rPr>
      </w:pPr>
      <w:r>
        <w:rPr>
          <w:lang w:val="uk-UA"/>
        </w:rPr>
        <w:tab/>
        <w:t>Оприлюднення інформації у процесі здійснення регуляторної діяльності Слов'янською  міською радою та її виконавчим комітетом забезпечило єдиний підхід до підготовки проектів регуляторних актів та їх прийняття з дотриманням процедур, визначених законодавством.</w:t>
      </w:r>
    </w:p>
    <w:p>
      <w:pPr>
        <w:pStyle w:val="Normal"/>
        <w:jc w:val="both"/>
        <w:rPr/>
      </w:pPr>
      <w:r>
        <w:rPr>
          <w:lang w:val="uk-UA"/>
        </w:rPr>
        <w:tab/>
        <w:t xml:space="preserve"> З метою посилення взаємодії органів місцевого самоврядування та  громадою міста в процесі формування та прийняття рішень, а також для поліпшення спроможності бізнесу аналізувати місцеву регуляторну політику, мати можливість  формувати пропозиції задля покращення бізнес-середовища, на офіційному сайті міської ради за посиланням: </w:t>
      </w:r>
      <w:hyperlink r:id="rId3">
        <w:r>
          <w:rPr>
            <w:rStyle w:val="Style15"/>
            <w:lang w:val="uk-UA"/>
          </w:rPr>
          <w:t>http://www.slavrada.gov.ua/?view=regular</w:t>
        </w:r>
      </w:hyperlink>
      <w:r>
        <w:rPr>
          <w:lang w:val="uk-UA"/>
        </w:rPr>
        <w:t xml:space="preserve">   в розділі: «Регуляторна діяльність»,  в міській газеті «Славянские объявления» та  н</w:t>
      </w:r>
      <w:r>
        <w:rPr>
          <w:rStyle w:val="Style14"/>
          <w:b w:val="false"/>
          <w:bCs w:val="false"/>
          <w:lang w:val="uk-UA"/>
        </w:rPr>
        <w:t xml:space="preserve">а веб-платформі електронних консультацій за посиланням </w:t>
      </w:r>
      <w:hyperlink r:id="rId4">
        <w:r>
          <w:rPr>
            <w:rStyle w:val="Style14"/>
            <w:b w:val="false"/>
            <w:bCs w:val="false"/>
            <w:lang w:val="uk-UA"/>
          </w:rPr>
          <w:t>https://consult.e-dem.tools/npas/90</w:t>
        </w:r>
      </w:hyperlink>
      <w:r>
        <w:rPr>
          <w:lang w:val="uk-UA"/>
        </w:rPr>
        <w:t xml:space="preserve">   розміщувалися проекти регуляторних актів та відповідні аналізи впливу.</w:t>
      </w:r>
    </w:p>
    <w:p>
      <w:pPr>
        <w:pStyle w:val="Normal"/>
        <w:jc w:val="both"/>
        <w:rPr>
          <w:lang w:val="uk-UA"/>
        </w:rPr>
      </w:pPr>
      <w:r>
        <w:rPr>
          <w:lang w:val="uk-UA"/>
        </w:rPr>
        <w:tab/>
        <w:t xml:space="preserve">В рамках реалізації заходів  міської програми розвитку малого та середнього підприємництва у м. Слов'янську на 2019-2020 роки особлива увага  приділяється  залученню представників підприємницьких структур і громадських організацій до процесу регулювання та обговорення проектів регуляторних актів у сфері підприємництва щодо впорядкування та систематизації нормативно-правової бази. Так, на засіданнях Координаційної ради з питань малого підприємництва були обговорені  проекти регуляторних актів, які мають суттєвий влив на розвиток підприємництва у місті.  </w:t>
      </w:r>
    </w:p>
    <w:p>
      <w:pPr>
        <w:pStyle w:val="Normal"/>
        <w:jc w:val="both"/>
        <w:rPr>
          <w:lang w:val="uk-UA"/>
        </w:rPr>
      </w:pPr>
      <w:r>
        <w:rPr>
          <w:lang w:val="uk-UA"/>
        </w:rPr>
        <w:tab/>
        <w:t>Таким чином, шляхом  всебічної публікації, міською владою забезпечувалася інформаційна відкритість та доступність з питань регуляторної діяльності.</w:t>
      </w:r>
    </w:p>
    <w:p>
      <w:pPr>
        <w:pStyle w:val="Normal"/>
        <w:jc w:val="both"/>
        <w:rPr>
          <w:lang w:val="uk-UA"/>
        </w:rPr>
      </w:pPr>
      <w:r>
        <w:rPr>
          <w:lang w:val="uk-UA"/>
        </w:rPr>
        <w:tab/>
        <w:t xml:space="preserve"> Протягом 2019 року виконавчим комітетом Слов'янської міської ради  прийнято 2 регуляторних акти: </w:t>
      </w:r>
    </w:p>
    <w:p>
      <w:pPr>
        <w:pStyle w:val="Normal"/>
        <w:jc w:val="both"/>
        <w:rPr>
          <w:lang w:val="uk-UA"/>
        </w:rPr>
      </w:pPr>
      <w:r>
        <w:rPr>
          <w:lang w:val="uk-UA"/>
        </w:rPr>
        <w:tab/>
        <w:t>− рішення виконавчого комітету Слов’янської міської ради  від 07.08.2019  №  1646 «Про затвердження Порядку розміщення відкритих майданчиків для харчування біля стаціонарних закладів ресторанного господарства на території м. Слов'янськ»;</w:t>
      </w:r>
    </w:p>
    <w:p>
      <w:pPr>
        <w:pStyle w:val="Normal"/>
        <w:jc w:val="both"/>
        <w:rPr>
          <w:lang w:val="uk-UA"/>
        </w:rPr>
      </w:pPr>
      <w:r>
        <w:rPr>
          <w:lang w:val="uk-UA"/>
        </w:rPr>
        <w:tab/>
        <w:t xml:space="preserve">− рішення виконавчого комітету   Слов’янської міської ради від  20.11.2019  №  2215 “Про встановлення тарифів на перевезення пасажирів міським електротранспортом(тролейбус)”. </w:t>
        <w:tab/>
      </w:r>
    </w:p>
    <w:p>
      <w:pPr>
        <w:pStyle w:val="Normal"/>
        <w:jc w:val="both"/>
        <w:rPr>
          <w:lang w:val="uk-UA"/>
        </w:rPr>
      </w:pPr>
      <w:r>
        <w:rPr>
          <w:lang w:val="uk-UA"/>
        </w:rPr>
        <w:tab/>
        <w:t>Проект регуляторного акту - рішення виконавчого комітету “Про затвердження Умов конкурсу з перевезення пасажирів в міському автобусному маршруті загального користування в м. Слов'янську”  не був прийнятий, у зв'язку з коригуванням маршрутної мережі міста. Даний проект регуляторного акту включено до плану роботи виконавчого комітету Слов'янської міської ради  з підготовки проектів регуляторних актів на 2020 рік.</w:t>
      </w:r>
    </w:p>
    <w:p>
      <w:pPr>
        <w:pStyle w:val="Normal"/>
        <w:jc w:val="both"/>
        <w:rPr>
          <w:lang w:val="uk-UA"/>
        </w:rPr>
      </w:pPr>
      <w:r>
        <w:rPr>
          <w:lang w:val="uk-UA"/>
        </w:rPr>
        <w:tab/>
        <w:t>Протягом звітного періоду розробниками згідно Плану роботи Слов'янської міської ради  на 2019 рік було підготовлено 4 проекти регуляторних актів, а саме:</w:t>
      </w:r>
    </w:p>
    <w:p>
      <w:pPr>
        <w:pStyle w:val="Normal"/>
        <w:jc w:val="both"/>
        <w:rPr>
          <w:lang w:val="uk-UA"/>
        </w:rPr>
      </w:pPr>
      <w:r>
        <w:rPr>
          <w:lang w:val="uk-UA"/>
        </w:rPr>
        <w:tab/>
        <w:t>-  Про затвердження Порядку подання та розгляду заяв про включення об’єктів права комунальної власності територіальної громади м.Слов’янська до переліку об’єктів, що підлягають приватизації (даний проект регуляторного акту  після розгляду на  постійній комісії міської ради з питань депутатської діяльності, законності, правопорядку,регуляторної політики та протидії корупції був відхилений та надані рекомендації щодо його доопрацювання розробникові) (Протокол   № 11 від 18.12.2019 - додається );</w:t>
      </w:r>
    </w:p>
    <w:p>
      <w:pPr>
        <w:pStyle w:val="Normal"/>
        <w:jc w:val="both"/>
        <w:rPr>
          <w:lang w:val="uk-UA"/>
        </w:rPr>
      </w:pPr>
      <w:r>
        <w:rPr>
          <w:lang w:val="uk-UA"/>
        </w:rPr>
        <w:tab/>
        <w:t>- Про затвердження Порядку надання орендарю згоди орендодавця на здійснення невід’ємних поліпшень орендованого майна комунальної власності територіальної громади м.Слов’янська (даний проект регуляторного акту  після розгляду на  постійній комісії міської ради з питань депутатської діяльності, законності, правопорядку,регуляторної політики та протидії корупції був відхилений та надані рекомендації щодо його доопрацювання розробникові)  (Протокол № 11 від 18.12.2019 -додається);</w:t>
      </w:r>
    </w:p>
    <w:p>
      <w:pPr>
        <w:pStyle w:val="Normal"/>
        <w:jc w:val="both"/>
        <w:rPr>
          <w:lang w:val="uk-UA"/>
        </w:rPr>
      </w:pPr>
      <w:r>
        <w:rPr>
          <w:lang w:val="uk-UA"/>
        </w:rPr>
        <w:tab/>
        <w:t>- Про затвердження Правил приймання стічних вод до систем центрального водовідведення м. Слов'янська (даний проект знаходиться на доопрацюванні розробником — управлінням житлово-комунального господарства);</w:t>
      </w:r>
    </w:p>
    <w:p>
      <w:pPr>
        <w:pStyle w:val="Normal"/>
        <w:jc w:val="both"/>
        <w:rPr>
          <w:lang w:val="uk-UA"/>
        </w:rPr>
      </w:pPr>
      <w:r>
        <w:rPr>
          <w:lang w:val="uk-UA"/>
        </w:rPr>
        <w:tab/>
        <w:t>- розробником проекту  регуляторного акту «Про затвердження Правил благоустрою території Слов'янської міської ради» - управлінням житлово-комунального господарства Слов'янської міської ради   проводиться робота  по узагальненню наданих пропозицій  до Правил благоустрою  у відповідності до норм чинного законодавства України. Підготовлено проект регуляторного акту, який містить 19 розділів та аналіз регуляторного впливу до нього;</w:t>
      </w:r>
    </w:p>
    <w:p>
      <w:pPr>
        <w:pStyle w:val="Normal"/>
        <w:jc w:val="both"/>
        <w:rPr>
          <w:lang w:val="uk-UA"/>
        </w:rPr>
      </w:pPr>
      <w:r>
        <w:rPr>
          <w:lang w:val="uk-UA"/>
        </w:rPr>
        <w:tab/>
        <w:t xml:space="preserve">- проект  регуляторного акту  “Внесення змін до рішення міської ради від 04.09.2013 №18-XLVII-6 “Про затвердження Порядку пайової участі замовників у розвиток інфраструктури м. Слов'янськ” не розроблявся у зв'язку з тим, що  Законом України від 20 вересня 2019 року  №132-ІX “Про внесення змін до деяких законодавчих актів України щодо стимулювання інвестиційної діяльності в Україні” внесені зміни , зокрема, і до Закону України «Про регулювання містобудівної діяльності», яким серед іншого, виключено статтю 40 цього Закону. </w:t>
        <w:tab/>
        <w:t>На теперішній час у  розробника відсутні правові підстави для розроблення відповідного рішення;</w:t>
      </w:r>
    </w:p>
    <w:p>
      <w:pPr>
        <w:pStyle w:val="Normal"/>
        <w:jc w:val="both"/>
        <w:rPr>
          <w:lang w:val="uk-UA"/>
        </w:rPr>
      </w:pPr>
      <w:r>
        <w:rPr>
          <w:lang w:val="uk-UA"/>
        </w:rPr>
        <w:tab/>
        <w:t>-  розробником проекту  регуляторного акту “Затвердження Порядку поштових адрес об'єктам нерухомого майна, розташованим на території м. Слов'янська” - управлінням  містобудування та архітектури Слов'янської міської ради    надано роз'яснення управлінню економічного та інвестиційного розвитку щодо відсутності правових підстав у розробці даного проекту у зв'язку з  Постановою КМУ від 27.03.2019 №367 “Деякі питання дерегуляції господарської діяльності”(далі- Постанова) якою внесені зміни до низки нормативно-правових актів з метою скасування зайвих адміністративних процедур, які ускладнюють ведення підприємницької діяльності. Постановою №367 затверджений Тимчасовий Порядок реалізації експериментального проекту з присвоєння адрес об’єктам будівництва та об’єктам нерухомого майна. Відповідно до пункту 2 Постанови №367 присвоєння адрес об'єктам будівництва та об'єктам нерухомого майна з 01.07.2019 Здійснюється виключно до Тимчасового порядку  реалізації експериментального проекту з присвоєння адрес об’єктам будівництва та об’єктам нерухомого майна, затвердженого цією постановою;</w:t>
      </w:r>
    </w:p>
    <w:p>
      <w:pPr>
        <w:pStyle w:val="Normal"/>
        <w:jc w:val="both"/>
        <w:rPr>
          <w:lang w:val="uk-UA"/>
        </w:rPr>
      </w:pPr>
      <w:r>
        <w:rPr>
          <w:lang w:val="uk-UA"/>
        </w:rPr>
        <w:tab/>
        <w:t xml:space="preserve">- проект регуляторного акту “Про встановлення ставок  та пільг зі сплати земельного податку” не розроблявся у зв'язку   з тим, що розміри ставок, затверджені рішенням Слов'янської  міської ради від 01.07.2015 № 6-LXXIX-6, із внесеними до нього  змінами, залишилися не змінними,  було прийнято рішення від 29.05.2019 № 8-LXV-7  про подовження терміну його дії на 2020 рік; </w:t>
      </w:r>
    </w:p>
    <w:p>
      <w:pPr>
        <w:pStyle w:val="Normal"/>
        <w:jc w:val="both"/>
        <w:rPr>
          <w:lang w:val="uk-UA"/>
        </w:rPr>
      </w:pPr>
      <w:r>
        <w:rPr>
          <w:lang w:val="uk-UA"/>
        </w:rPr>
        <w:tab/>
        <w:t xml:space="preserve">Прийняття рішення щодо встановлення ставок  та пільг зі сплати земельного податку  із приведенням його форми у відповідність до типового рішення про встановлення ставок та пільг із сплати земельного податку, затвердженого постановою КМУ  від 24.05.2017 № 483 заплановано на 2020 рік. </w:t>
      </w:r>
    </w:p>
    <w:p>
      <w:pPr>
        <w:pStyle w:val="Normal"/>
        <w:jc w:val="both"/>
        <w:rPr>
          <w:lang w:val="uk-UA"/>
        </w:rPr>
      </w:pPr>
      <w:r>
        <w:rPr>
          <w:lang w:val="uk-UA"/>
        </w:rPr>
        <w:tab/>
        <w:t>- проект “Про встановлення ставок туристичного збору на 2020 рік” не розроблявся розробником на підставі Закону України від 23.11.2018 № 2628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дане рішення не підпадало під дію  Закону. Рішенням Слов'янської міської ради від 29.05.2019 № 9-LXV-7 було подовжено його дію на 2020 рік.</w:t>
      </w:r>
    </w:p>
    <w:p>
      <w:pPr>
        <w:pStyle w:val="Normal"/>
        <w:ind w:firstLine="706"/>
        <w:jc w:val="both"/>
        <w:rPr>
          <w:lang w:val="uk-UA"/>
        </w:rPr>
      </w:pPr>
      <w:r>
        <w:rPr>
          <w:lang w:val="uk-UA"/>
        </w:rPr>
        <w:t>У розробці знаходяться 2 проекти регуляторних актів, завершення підготовки яких передбачається у 2020 році.</w:t>
      </w:r>
    </w:p>
    <w:p>
      <w:pPr>
        <w:pStyle w:val="Normal"/>
        <w:jc w:val="center"/>
        <w:rPr>
          <w:lang w:val="uk-UA"/>
        </w:rPr>
      </w:pPr>
      <w:r>
        <w:rPr>
          <w:b/>
          <w:bCs/>
          <w:color w:val="000000"/>
          <w:lang w:val="uk-UA"/>
        </w:rPr>
        <w:t>Підтримка в актуальному стані реєстру діючих регуляторних актів</w:t>
      </w:r>
    </w:p>
    <w:p>
      <w:pPr>
        <w:pStyle w:val="Normal"/>
        <w:jc w:val="both"/>
        <w:rPr>
          <w:lang w:val="uk-UA"/>
        </w:rPr>
      </w:pPr>
      <w:r>
        <w:rPr>
          <w:lang w:val="uk-UA"/>
        </w:rPr>
        <w:tab/>
      </w:r>
      <w:r>
        <w:rPr>
          <w:color w:val="000000"/>
          <w:sz w:val="28"/>
          <w:szCs w:val="28"/>
          <w:lang w:val="uk-UA"/>
        </w:rPr>
        <w:t xml:space="preserve"> </w:t>
      </w:r>
      <w:r>
        <w:rPr>
          <w:color w:val="000000"/>
          <w:lang w:val="uk-UA"/>
        </w:rPr>
        <w:t>Для систематизації регуляторних актів проводиться робота з формування та доповнення реєстру діючих регуляторних актів, прийнятих міською радою та її виконавчим комітетом, який також розміщено на офіційному порталі міської ради.</w:t>
      </w:r>
    </w:p>
    <w:p>
      <w:pPr>
        <w:pStyle w:val="Normal"/>
        <w:jc w:val="both"/>
        <w:rPr>
          <w:lang w:val="uk-UA"/>
        </w:rPr>
      </w:pPr>
      <w:r>
        <w:rPr>
          <w:color w:val="000000"/>
          <w:sz w:val="28"/>
          <w:szCs w:val="28"/>
          <w:lang w:val="uk-UA"/>
        </w:rPr>
        <w:tab/>
      </w:r>
      <w:r>
        <w:rPr>
          <w:color w:val="000000"/>
          <w:lang w:val="uk-UA"/>
        </w:rPr>
        <w:t>Станом на 01.01.2020 року даний реєстр нараховує 17 регуляторних актів,  з них 9 рішень міської ради, 8 рішень виконавчого комітету Слов'янської  міської ради.</w:t>
      </w:r>
    </w:p>
    <w:p>
      <w:pPr>
        <w:pStyle w:val="Normal"/>
        <w:jc w:val="both"/>
        <w:rPr>
          <w:lang w:val="uk-UA"/>
        </w:rPr>
      </w:pPr>
      <w:r>
        <w:rPr>
          <w:color w:val="000000"/>
          <w:lang w:val="uk-UA"/>
        </w:rPr>
        <w:tab/>
        <w:t xml:space="preserve">Відповідно до постанови КМУ від 21.10.2015 №835 </w:t>
      </w:r>
      <w:r>
        <w:rPr>
          <w:rStyle w:val="Style14"/>
          <w:b w:val="false"/>
          <w:bCs w:val="false"/>
          <w:color w:val="000000"/>
          <w:lang w:val="uk-UA"/>
        </w:rPr>
        <w:t>“Про затвердження  Положення про набори даних, які підлягають оприлюдненню у формі відкритих даних” (зі змінами) управлінням економічного та інвестиційного розвитку оприлюднено перелік  регуляторних актів міської ради та її виконавчим комітетом на відкритому порталі даних за посиланням:</w:t>
      </w:r>
    </w:p>
    <w:p>
      <w:pPr>
        <w:pStyle w:val="Normal"/>
        <w:jc w:val="both"/>
        <w:rPr/>
      </w:pPr>
      <w:hyperlink r:id="rId5">
        <w:r>
          <w:rPr>
            <w:rStyle w:val="Style14"/>
            <w:b w:val="false"/>
            <w:bCs w:val="false"/>
            <w:color w:val="000000"/>
            <w:lang w:val="uk-UA"/>
          </w:rPr>
          <w:t>https://data.gov.ua/dataset/dcae9e22-1cad-4024-82ca1bd61856ba5b/resource/15705dad-8278-4a78-b529-42289ce64ffc</w:t>
        </w:r>
      </w:hyperlink>
      <w:r>
        <w:rPr>
          <w:rStyle w:val="Style14"/>
          <w:b w:val="false"/>
          <w:bCs w:val="false"/>
          <w:color w:val="000000"/>
          <w:lang w:val="uk-UA"/>
        </w:rPr>
        <w:t xml:space="preserve"> </w:t>
      </w:r>
    </w:p>
    <w:p>
      <w:pPr>
        <w:pStyle w:val="Normal"/>
        <w:jc w:val="center"/>
        <w:rPr>
          <w:lang w:val="uk-UA"/>
        </w:rPr>
      </w:pPr>
      <w:r>
        <w:rPr>
          <w:rStyle w:val="Style14"/>
          <w:color w:val="000000"/>
          <w:lang w:val="uk-UA"/>
        </w:rPr>
        <w:t>Проведення відстеження результативності регуляторних актів</w:t>
      </w:r>
    </w:p>
    <w:p>
      <w:pPr>
        <w:pStyle w:val="Normal"/>
        <w:jc w:val="both"/>
        <w:rPr>
          <w:lang w:val="uk-UA"/>
        </w:rPr>
      </w:pPr>
      <w:r>
        <w:rPr>
          <w:color w:val="000000"/>
          <w:sz w:val="28"/>
          <w:szCs w:val="28"/>
          <w:lang w:val="uk-UA"/>
        </w:rPr>
        <w:tab/>
      </w:r>
      <w:r>
        <w:rPr>
          <w:color w:val="000000"/>
          <w:highlight w:val="white"/>
          <w:lang w:val="uk-UA"/>
        </w:rPr>
        <w:t>Протягом року на виконання ст.10 Закону  виконавчими органами міської ради – розробниками регуляторних актів було проведено  базове  відстеження - результативності регуляторного акту, а саме: “Про встановлення тарифів на перевезення пасажирів міським електротранспортом (тролейбус)”</w:t>
      </w:r>
    </w:p>
    <w:p>
      <w:pPr>
        <w:pStyle w:val="Normal"/>
        <w:jc w:val="both"/>
        <w:rPr>
          <w:lang w:val="uk-UA"/>
        </w:rPr>
      </w:pPr>
      <w:r>
        <w:rPr>
          <w:color w:val="000000"/>
          <w:highlight w:val="white"/>
          <w:lang w:val="uk-UA"/>
        </w:rPr>
        <w:tab/>
        <w:t>Повторні відстеження регуляторних актів у 2019 році не проводилися у зв'язку з тим, що у 2018 році регуляторні акти не приймалися.</w:t>
      </w:r>
    </w:p>
    <w:p>
      <w:pPr>
        <w:pStyle w:val="Normal"/>
        <w:jc w:val="both"/>
        <w:rPr>
          <w:lang w:val="uk-UA"/>
        </w:rPr>
      </w:pPr>
      <w:r>
        <w:rPr>
          <w:color w:val="000000"/>
          <w:sz w:val="28"/>
          <w:szCs w:val="28"/>
          <w:highlight w:val="white"/>
          <w:lang w:val="uk-UA"/>
        </w:rPr>
        <w:tab/>
      </w:r>
      <w:r>
        <w:rPr>
          <w:color w:val="000000"/>
          <w:highlight w:val="white"/>
          <w:lang w:val="uk-UA"/>
        </w:rPr>
        <w:t>Враховуючи звіт про періодичне відстеження результативності регуляторного акта було скасовано рішення виконавчого комітету Слов'янської міської ради від 19.12.2007 № 756 “О Порядке участия субъектов предпринимательской деятельности в расчетах за содержание домов и придомовых территорий´´, як таке яке не відповідає принципам державної регуляторної політики.</w:t>
      </w:r>
    </w:p>
    <w:p>
      <w:pPr>
        <w:pStyle w:val="Normal"/>
        <w:jc w:val="both"/>
        <w:rPr>
          <w:lang w:val="uk-UA"/>
        </w:rPr>
      </w:pPr>
      <w:r>
        <w:rPr>
          <w:color w:val="000000"/>
          <w:highlight w:val="white"/>
          <w:lang w:val="uk-UA"/>
        </w:rPr>
        <w:tab/>
      </w:r>
      <w:r>
        <w:rPr>
          <w:rStyle w:val="Style17"/>
          <w:color w:val="000000"/>
          <w:sz w:val="24"/>
          <w:szCs w:val="24"/>
          <w:highlight w:val="white"/>
          <w:lang w:val="uk-UA" w:eastAsia="uk-UA"/>
        </w:rPr>
        <w:t>Завдяки періодичному відстеженню результативності регуляторного акту —</w:t>
      </w:r>
      <w:bookmarkStart w:id="0" w:name="__DdeLink__1006_1522306313"/>
      <w:r>
        <w:rPr>
          <w:rStyle w:val="Style17"/>
          <w:color w:val="000000"/>
          <w:sz w:val="24"/>
          <w:szCs w:val="24"/>
          <w:highlight w:val="white"/>
          <w:lang w:val="uk-UA" w:eastAsia="uk-UA"/>
        </w:rPr>
        <w:t xml:space="preserve"> рішення виконавчого комітету Слов'янської міської ради від 14.01.2015 №5 “Про визначення на конкурсних засадах підприємства  (організації) для здійснення функцій роботи робочого органу</w:t>
      </w:r>
      <w:bookmarkEnd w:id="0"/>
      <w:r>
        <w:rPr>
          <w:rStyle w:val="Style17"/>
          <w:color w:val="000000"/>
          <w:sz w:val="24"/>
          <w:szCs w:val="24"/>
          <w:highlight w:val="white"/>
          <w:lang w:val="uk-UA" w:eastAsia="uk-UA"/>
        </w:rPr>
        <w:t xml:space="preserve">” , розробником регуляторного акту — відділом транспорту та зв'язку, рішенням виконавчого комітету від 04.12.2019 № 2304 внесено зміни до діючого регуляторного акту в частині відповідності його Закону України “Про державну реєстрацію юридичних осіб, фізичних осіб- підприємців та громадських формувань”  </w:t>
      </w:r>
    </w:p>
    <w:p>
      <w:pPr>
        <w:pStyle w:val="Normal"/>
        <w:jc w:val="center"/>
        <w:rPr>
          <w:lang w:val="uk-UA"/>
        </w:rPr>
      </w:pPr>
      <w:r>
        <w:rPr>
          <w:rStyle w:val="Style17"/>
          <w:b/>
          <w:bCs/>
          <w:color w:val="000000"/>
          <w:sz w:val="24"/>
          <w:szCs w:val="24"/>
          <w:highlight w:val="white"/>
          <w:lang w:val="uk-UA" w:eastAsia="uk-UA"/>
        </w:rPr>
        <w:t>Здійснення перегляду регуляторних актів</w:t>
      </w:r>
    </w:p>
    <w:p>
      <w:pPr>
        <w:pStyle w:val="Normal"/>
        <w:jc w:val="both"/>
        <w:rPr>
          <w:lang w:val="uk-UA"/>
        </w:rPr>
      </w:pPr>
      <w:r>
        <w:rPr>
          <w:color w:val="000000"/>
          <w:highlight w:val="white"/>
          <w:lang w:val="uk-UA"/>
        </w:rPr>
        <w:tab/>
        <w:t xml:space="preserve"> Відповідно до   Законів України: від 20.09.2019  №132-ІX “Про внесення змін до деяких законодавчих актів України щодо стимулювання інвестиційної діяльності в Україні”, відповідно до статей 7 та 8 Житлового Кодексу Української РСР,  Постанови Кабінету міністрів України від 29.12.2003 № 2067  “Про затвердження Типових правил розміщення зовнішньої реклами"(зі змінам</w:t>
      </w:r>
      <w:bookmarkStart w:id="1" w:name="n31"/>
      <w:bookmarkEnd w:id="1"/>
      <w:r>
        <w:rPr>
          <w:color w:val="000000"/>
          <w:highlight w:val="white"/>
          <w:lang w:val="uk-UA"/>
        </w:rPr>
        <w:t xml:space="preserve">и), ЗУ </w:t>
      </w:r>
      <w:r>
        <w:rPr>
          <w:color w:val="292B2C"/>
          <w:highlight w:val="white"/>
          <w:lang w:val="uk-UA"/>
        </w:rPr>
        <w:t>від 21.02.2006 №3447-VI )</w:t>
      </w:r>
      <w:r>
        <w:rPr>
          <w:color w:val="000000"/>
          <w:highlight w:val="white"/>
          <w:lang w:val="uk-UA"/>
        </w:rPr>
        <w:t>“</w:t>
      </w:r>
      <w:r>
        <w:rPr>
          <w:color w:val="292B2C"/>
          <w:highlight w:val="white"/>
          <w:lang w:val="uk-UA"/>
        </w:rPr>
        <w:t xml:space="preserve">Про захист тварин від жорстокого поводження” </w:t>
      </w:r>
      <w:bookmarkStart w:id="2" w:name="o2"/>
      <w:bookmarkEnd w:id="2"/>
      <w:r>
        <w:rPr>
          <w:color w:val="292B2C"/>
          <w:highlight w:val="white"/>
          <w:lang w:val="uk-UA"/>
        </w:rPr>
        <w:t>(зі змінами),</w:t>
      </w:r>
      <w:r>
        <w:rPr>
          <w:color w:val="000000"/>
          <w:highlight w:val="white"/>
          <w:lang w:val="uk-UA"/>
        </w:rPr>
        <w:t>на підставі  Виписок з протоколів спільних засідань постійних комісій міської ради з питань економічної політики, бізнесу, бюджету та фінансів та з питань землекористування, містобудування та екології від 11.07.2018 №7, Виписок з протоколів постійної комісії з питань комунальної власності та міського господарства від 21.06.2018 №7, від 12.07.2018 №8, враховуючи листи  управління економічного та інвестиційного розвитку   від 04.06.2018 № 01-30/98,  від  13.09.2018 № 01-30/157,  № 01-30/161, від 28.08.2019 № 1-38/155, від 05.11.2019 №1-38/204 управліннями житлово-комунального господарства та  містобудування та архітектури  Слов'янської міської ради  на теперішній час не проведено перегляд  наступних регуляторних актів:</w:t>
      </w:r>
    </w:p>
    <w:p>
      <w:pPr>
        <w:pStyle w:val="Normal"/>
        <w:jc w:val="both"/>
        <w:rPr>
          <w:lang w:val="uk-UA"/>
        </w:rPr>
      </w:pPr>
      <w:r>
        <w:rPr>
          <w:color w:val="000000"/>
          <w:highlight w:val="white"/>
          <w:lang w:val="uk-UA"/>
        </w:rPr>
        <w:t>- рішення Слов'янської міської ради від 04.09.2013 № 18-XLVII-6 “Про затвердження Порядку пайової участі замовників у розвиток інфраструктури м. Слов'янська”;</w:t>
      </w:r>
    </w:p>
    <w:p>
      <w:pPr>
        <w:pStyle w:val="Normal"/>
        <w:jc w:val="both"/>
        <w:rPr>
          <w:lang w:val="uk-UA"/>
        </w:rPr>
      </w:pPr>
      <w:r>
        <w:rPr>
          <w:lang w:val="uk-UA"/>
        </w:rPr>
        <w:t>- рішення Слов'янської міської ради  від 02.03.2012 №10-XXIV-6 “Про затвердження Положення про порядок оплати за розміщення зовнішньої реклами на території м. Слов'янська”;</w:t>
      </w:r>
    </w:p>
    <w:p>
      <w:pPr>
        <w:pStyle w:val="Normal"/>
        <w:jc w:val="both"/>
        <w:rPr>
          <w:lang w:val="uk-UA"/>
        </w:rPr>
      </w:pPr>
      <w:r>
        <w:rPr>
          <w:color w:val="000000"/>
          <w:highlight w:val="white"/>
          <w:lang w:val="uk-UA"/>
        </w:rPr>
        <w:t>- рішення Слов'янської міської ради  від 10.07.2012 № 12-XXVIII-6 “Про затвердження Порядку переведення житлових будинків і житлових приміщень  у нежилі для розміщення об'єктів невиробничої сфери на території Слов'янської міської ради”;</w:t>
      </w:r>
    </w:p>
    <w:p>
      <w:pPr>
        <w:pStyle w:val="Normal"/>
        <w:jc w:val="both"/>
        <w:rPr>
          <w:lang w:val="uk-UA"/>
        </w:rPr>
      </w:pPr>
      <w:r>
        <w:rPr>
          <w:color w:val="000000"/>
          <w:highlight w:val="white"/>
          <w:lang w:val="uk-UA"/>
        </w:rPr>
        <w:t>- рішення Слов'янської міської ради від 07.10.2011 №6-XV-6 “Про затвердження Правил утримання домашніх тварин в м. Слов'янську ”.</w:t>
      </w:r>
    </w:p>
    <w:p>
      <w:pPr>
        <w:pStyle w:val="Normal"/>
        <w:jc w:val="both"/>
        <w:rPr>
          <w:lang w:val="uk-UA"/>
        </w:rPr>
      </w:pPr>
      <w:r>
        <w:rPr>
          <w:color w:val="000000"/>
          <w:highlight w:val="white"/>
          <w:lang w:val="uk-UA"/>
        </w:rPr>
        <w:tab/>
        <w:t>З метою дотримання єдиного підходу до підготовки проектів регуляторних актів для  розробників регуляторних актів у лютому 2019 року</w:t>
      </w:r>
      <w:bookmarkStart w:id="3" w:name="_GoBack"/>
      <w:bookmarkEnd w:id="3"/>
      <w:r>
        <w:rPr>
          <w:color w:val="000000"/>
          <w:highlight w:val="white"/>
          <w:lang w:val="uk-UA"/>
        </w:rPr>
        <w:t xml:space="preserve">  спеціалістами Державної регуляторної служби України  було проведено навчальний семінар з питань підготовки аналізу регуляторного впливу та Тесту малого підприємництва до проектів регуляторних актів. </w:t>
      </w:r>
    </w:p>
    <w:p>
      <w:pPr>
        <w:pStyle w:val="Normal"/>
        <w:jc w:val="both"/>
        <w:rPr>
          <w:color w:val="000000"/>
          <w:shd w:fill="FFFFFF" w:val="clear"/>
          <w:lang w:val="uk-UA"/>
        </w:rPr>
      </w:pPr>
      <w:r>
        <w:rPr>
          <w:color w:val="000000"/>
          <w:shd w:fill="FFFFFF" w:val="clear"/>
          <w:lang w:val="uk-UA"/>
        </w:rPr>
      </w:r>
    </w:p>
    <w:p>
      <w:pPr>
        <w:pStyle w:val="Normal"/>
        <w:jc w:val="both"/>
        <w:rPr>
          <w:lang w:val="uk-UA"/>
        </w:rPr>
      </w:pPr>
      <w:r>
        <w:rPr>
          <w:color w:val="000000"/>
          <w:highlight w:val="white"/>
          <w:lang w:val="uk-UA"/>
        </w:rPr>
        <w:tab/>
      </w:r>
    </w:p>
    <w:p>
      <w:pPr>
        <w:pStyle w:val="Normal"/>
        <w:jc w:val="both"/>
        <w:rPr>
          <w:color w:val="000000"/>
          <w:lang w:val="uk-UA"/>
        </w:rPr>
      </w:pPr>
      <w:r>
        <w:rPr>
          <w:color w:val="000000"/>
          <w:lang w:val="uk-UA"/>
        </w:rPr>
      </w:r>
    </w:p>
    <w:p>
      <w:pPr>
        <w:pStyle w:val="Normal"/>
        <w:jc w:val="both"/>
        <w:rPr>
          <w:color w:val="000000"/>
          <w:lang w:val="uk-UA"/>
        </w:rPr>
      </w:pPr>
      <w:r>
        <w:rPr>
          <w:color w:val="000000"/>
          <w:lang w:val="uk-UA"/>
        </w:rPr>
      </w:r>
    </w:p>
    <w:p>
      <w:pPr>
        <w:pStyle w:val="Normal"/>
        <w:jc w:val="both"/>
        <w:rPr>
          <w:color w:val="000000"/>
          <w:lang w:val="uk-UA"/>
        </w:rPr>
      </w:pPr>
      <w:r>
        <w:rPr>
          <w:color w:val="000000"/>
          <w:lang w:val="uk-UA"/>
        </w:rPr>
      </w:r>
    </w:p>
    <w:p>
      <w:pPr>
        <w:pStyle w:val="Normal"/>
        <w:jc w:val="both"/>
        <w:rPr>
          <w:color w:val="000000"/>
          <w:lang w:val="uk-UA"/>
        </w:rPr>
      </w:pPr>
      <w:r>
        <w:rPr>
          <w:color w:val="000000"/>
          <w:lang w:val="uk-UA"/>
        </w:rPr>
      </w:r>
    </w:p>
    <w:p>
      <w:pPr>
        <w:pStyle w:val="Normal"/>
        <w:jc w:val="both"/>
        <w:rPr>
          <w:rFonts w:eastAsia="Symbol" w:cs="Symbol"/>
          <w:bCs/>
          <w:color w:val="000000"/>
          <w:effect w:val="blinkBackground"/>
          <w:lang w:val="uk-UA"/>
        </w:rPr>
      </w:pPr>
      <w:r>
        <w:rPr>
          <w:rFonts w:eastAsia="Symbol" w:cs="Symbol"/>
          <w:bCs/>
          <w:color w:val="000000"/>
          <w:effect w:val="blinkBackground"/>
          <w:lang w:val="uk-UA"/>
        </w:rPr>
      </w:r>
    </w:p>
    <w:p>
      <w:pPr>
        <w:pStyle w:val="Normal"/>
        <w:ind w:firstLine="709"/>
        <w:jc w:val="both"/>
        <w:rPr>
          <w:rFonts w:eastAsia="Symbol" w:cs="Symbol"/>
          <w:bCs/>
          <w:color w:val="000000"/>
          <w:effect w:val="blinkBackground"/>
          <w:lang w:val="uk-UA"/>
        </w:rPr>
      </w:pPr>
      <w:r>
        <w:rPr>
          <w:rFonts w:eastAsia="Symbol" w:cs="Symbol"/>
          <w:bCs/>
          <w:color w:val="000000"/>
          <w:effect w:val="blinkBackground"/>
          <w:lang w:val="uk-UA"/>
        </w:rPr>
      </w:r>
    </w:p>
    <w:p>
      <w:pPr>
        <w:pStyle w:val="Normal"/>
        <w:ind w:firstLine="709"/>
        <w:jc w:val="both"/>
        <w:rPr>
          <w:rFonts w:eastAsia="Symbol" w:cs="Symbol"/>
          <w:bCs/>
          <w:color w:val="000000"/>
          <w:highlight w:val="yellow"/>
          <w:lang w:val="uk-UA"/>
        </w:rPr>
      </w:pPr>
      <w:r>
        <w:rPr>
          <w:rFonts w:eastAsia="Symbol" w:cs="Symbol"/>
          <w:bCs/>
          <w:color w:val="000000"/>
          <w:highlight w:val="yellow"/>
          <w:lang w:val="uk-UA"/>
        </w:rPr>
      </w:r>
    </w:p>
    <w:p>
      <w:pPr>
        <w:pStyle w:val="Normal"/>
        <w:ind w:firstLine="709"/>
        <w:jc w:val="both"/>
        <w:rPr>
          <w:color w:val="000000"/>
          <w:highlight w:val="yellow"/>
          <w:lang w:val="uk-UA"/>
        </w:rPr>
      </w:pPr>
      <w:r>
        <w:rPr>
          <w:color w:val="000000"/>
          <w:highlight w:val="yellow"/>
          <w:lang w:val="uk-UA"/>
        </w:rPr>
      </w:r>
    </w:p>
    <w:p>
      <w:pPr>
        <w:pStyle w:val="Normal"/>
        <w:ind w:firstLine="709"/>
        <w:jc w:val="both"/>
        <w:rPr>
          <w:color w:val="000000"/>
          <w:lang w:val="uk-UA"/>
        </w:rPr>
      </w:pPr>
      <w:r>
        <w:rPr>
          <w:color w:val="000000"/>
          <w:lang w:val="uk-UA"/>
        </w:rPr>
      </w:r>
    </w:p>
    <w:p>
      <w:pPr>
        <w:pStyle w:val="Normal"/>
        <w:ind w:firstLine="709"/>
        <w:jc w:val="both"/>
        <w:rPr>
          <w:color w:val="000000"/>
          <w:lang w:val="uk-UA"/>
        </w:rPr>
      </w:pPr>
      <w:r>
        <w:rPr>
          <w:color w:val="000000"/>
          <w:lang w:val="uk-UA"/>
        </w:rPr>
      </w:r>
    </w:p>
    <w:p>
      <w:pPr>
        <w:pStyle w:val="Normal"/>
        <w:ind w:firstLine="709"/>
        <w:jc w:val="both"/>
        <w:rPr>
          <w:sz w:val="23"/>
          <w:szCs w:val="23"/>
          <w:highlight w:val="white"/>
          <w:lang w:val="uk-UA"/>
        </w:rPr>
      </w:pPr>
      <w:r>
        <w:rPr>
          <w:sz w:val="23"/>
          <w:szCs w:val="23"/>
          <w:highlight w:val="white"/>
          <w:lang w:val="uk-UA"/>
        </w:rPr>
      </w:r>
    </w:p>
    <w:p>
      <w:pPr>
        <w:pStyle w:val="Normal"/>
        <w:ind w:firstLine="709"/>
        <w:jc w:val="both"/>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6"/>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Cs w:val="24"/>
        <w:lang w:val="en-US" w:eastAsia="en-US" w:bidi="en-US"/>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overflowPunct w:val="true"/>
      <w:bidi w:val="0"/>
      <w:jc w:val="left"/>
    </w:pPr>
    <w:rPr>
      <w:rFonts w:ascii="Times New Roman" w:hAnsi="Times New Roman" w:eastAsia="Andale Sans UI" w:cs="Tahoma"/>
      <w:color w:val="00000A"/>
      <w:sz w:val="24"/>
      <w:szCs w:val="24"/>
      <w:lang w:val="en-US" w:eastAsia="en-US" w:bidi="en-US"/>
    </w:rPr>
  </w:style>
  <w:style w:type="character" w:styleId="DefaultParagraphFont" w:default="1">
    <w:name w:val="Default Paragraph Font"/>
    <w:uiPriority w:val="1"/>
    <w:semiHidden/>
    <w:unhideWhenUsed/>
    <w:qFormat/>
    <w:rPr/>
  </w:style>
  <w:style w:type="character" w:styleId="Style14" w:customStyle="1">
    <w:name w:val="Виділення жирним"/>
    <w:qFormat/>
    <w:rPr>
      <w:b/>
      <w:bCs/>
    </w:rPr>
  </w:style>
  <w:style w:type="character" w:styleId="Style15">
    <w:name w:val="Гіперпосилання"/>
    <w:rPr>
      <w:color w:val="000080"/>
      <w:u w:val="single"/>
    </w:rPr>
  </w:style>
  <w:style w:type="character" w:styleId="Style16" w:customStyle="1">
    <w:name w:val="Основной шрифт абзаца"/>
    <w:qFormat/>
    <w:rPr/>
  </w:style>
  <w:style w:type="character" w:styleId="Style17" w:customStyle="1">
    <w:name w:val="Основной текст_"/>
    <w:basedOn w:val="Style16"/>
    <w:qFormat/>
    <w:rPr>
      <w:sz w:val="25"/>
      <w:szCs w:val="25"/>
      <w:lang w:bidi="ar-SA"/>
    </w:rPr>
  </w:style>
  <w:style w:type="paragraph" w:styleId="Style18" w:customStyle="1">
    <w:name w:val="Заголовок"/>
    <w:basedOn w:val="Normal"/>
    <w:next w:val="Style19"/>
    <w:qFormat/>
    <w:pPr>
      <w:keepNext/>
      <w:spacing w:before="240" w:after="120"/>
    </w:pPr>
    <w:rPr>
      <w:rFonts w:ascii="Arial" w:hAnsi="Arial"/>
      <w:sz w:val="28"/>
      <w:szCs w:val="28"/>
    </w:rPr>
  </w:style>
  <w:style w:type="paragraph" w:styleId="Style19">
    <w:name w:val="Body Text"/>
    <w:basedOn w:val="Normal"/>
    <w:pPr>
      <w:spacing w:before="0" w:after="120"/>
    </w:pPr>
    <w:rPr/>
  </w:style>
  <w:style w:type="paragraph" w:styleId="Style20">
    <w:name w:val="List"/>
    <w:basedOn w:val="Style19"/>
    <w:pPr/>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Style23" w:customStyle="1">
    <w:name w:val="Обычный (веб)"/>
    <w:basedOn w:val="Normal"/>
    <w:qFormat/>
    <w:pPr>
      <w:spacing w:before="100" w:after="100"/>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ata.gov.ua/dataset/7a787ce8-36f3-439f-ae92-fc53d9ddcf79" TargetMode="External"/><Relationship Id="rId3" Type="http://schemas.openxmlformats.org/officeDocument/2006/relationships/hyperlink" Target="http://www.slavrada.gov.ua/?view=regular" TargetMode="External"/><Relationship Id="rId4" Type="http://schemas.openxmlformats.org/officeDocument/2006/relationships/hyperlink" Target="https://consult.e-dem.tools/npas/90" TargetMode="External"/><Relationship Id="rId5" Type="http://schemas.openxmlformats.org/officeDocument/2006/relationships/hyperlink" Target="https://data.gov.ua/dataset/dcae9e22-1cad-4024-82ca-1bd61856ba5b/resource/15705dad-8278-4a78-b529-42289ce64ffc" TargetMode="Externa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881</TotalTime>
  <Application>LibreOffice/5.1.6.2$Windows_X86_64 LibreOffice_project/07ac168c60a517dba0f0d7bc7540f5afa45f0909</Application>
  <Pages>5</Pages>
  <Words>1832</Words>
  <Characters>12962</Characters>
  <CharactersWithSpaces>15151</CharactersWithSpaces>
  <Paragraphs>56</Paragraphs>
  <Company>diakov.net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2009-04-16T11:32:00Z</dcterms:created>
  <dc:creator/>
  <dc:description/>
  <dc:language>uk-UA</dc:language>
  <cp:lastModifiedBy/>
  <cp:lastPrinted>2020-01-03T07:28:00Z</cp:lastPrinted>
  <dcterms:modified xsi:type="dcterms:W3CDTF">2020-03-11T09:46:56Z</dcterms:modified>
  <cp:revision>116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0</vt:bool>
  </property>
  <property fmtid="{D5CDD505-2E9C-101B-9397-08002B2CF9AE}" pid="6" name="Info 1">
    <vt:lpwstr/>
  </property>
  <property fmtid="{D5CDD505-2E9C-101B-9397-08002B2CF9AE}" pid="7" name="Info 2">
    <vt:lpwstr/>
  </property>
  <property fmtid="{D5CDD505-2E9C-101B-9397-08002B2CF9AE}" pid="8" name="Info 3">
    <vt:lpwstr/>
  </property>
  <property fmtid="{D5CDD505-2E9C-101B-9397-08002B2CF9AE}" pid="9" name="Info 4">
    <vt:lpwstr/>
  </property>
  <property fmtid="{D5CDD505-2E9C-101B-9397-08002B2CF9AE}" pid="10" name="LinksUpToDate">
    <vt:bool>0</vt:bool>
  </property>
  <property fmtid="{D5CDD505-2E9C-101B-9397-08002B2CF9AE}" pid="11" name="ScaleCrop">
    <vt:bool>0</vt:bool>
  </property>
  <property fmtid="{D5CDD505-2E9C-101B-9397-08002B2CF9AE}" pid="12" name="ShareDoc">
    <vt:bool>0</vt:bool>
  </property>
</Properties>
</file>