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 w:val="false"/>
          <w:b w:val="false"/>
          <w:bCs w:val="false"/>
          <w:sz w:val="26"/>
          <w:szCs w:val="26"/>
          <w:lang w:val="uk-UA"/>
        </w:rPr>
      </w:pPr>
      <w:r>
        <w:rPr>
          <w:b w:val="false"/>
          <w:bCs w:val="false"/>
          <w:sz w:val="26"/>
          <w:szCs w:val="26"/>
          <w:lang w:val="uk-UA"/>
        </w:rPr>
        <w:t xml:space="preserve">                                                                                                          </w:t>
      </w:r>
      <w:r>
        <w:rPr>
          <w:b w:val="false"/>
          <w:bCs w:val="false"/>
          <w:sz w:val="26"/>
          <w:szCs w:val="26"/>
          <w:lang w:val="uk-UA"/>
        </w:rPr>
        <w:t xml:space="preserve">Додаток </w:t>
      </w:r>
    </w:p>
    <w:p>
      <w:pPr>
        <w:pStyle w:val="Normal"/>
        <w:jc w:val="both"/>
        <w:rPr>
          <w:b w:val="false"/>
          <w:b w:val="false"/>
          <w:bCs w:val="false"/>
          <w:sz w:val="26"/>
          <w:szCs w:val="26"/>
          <w:lang w:val="uk-UA"/>
        </w:rPr>
      </w:pPr>
      <w:r>
        <w:rPr>
          <w:b w:val="false"/>
          <w:bCs w:val="false"/>
          <w:sz w:val="26"/>
          <w:szCs w:val="26"/>
          <w:lang w:val="uk-UA"/>
        </w:rPr>
        <w:t xml:space="preserve">                                                                                                          </w:t>
      </w:r>
      <w:r>
        <w:rPr>
          <w:b w:val="false"/>
          <w:bCs w:val="false"/>
          <w:sz w:val="26"/>
          <w:szCs w:val="26"/>
          <w:lang w:val="uk-UA"/>
        </w:rPr>
        <w:t>до рішення виконкому</w:t>
      </w:r>
    </w:p>
    <w:p>
      <w:pPr>
        <w:pStyle w:val="Normal"/>
        <w:jc w:val="both"/>
        <w:rPr>
          <w:b w:val="false"/>
          <w:b w:val="false"/>
          <w:bCs w:val="false"/>
          <w:sz w:val="26"/>
          <w:szCs w:val="26"/>
          <w:lang w:val="uk-UA"/>
        </w:rPr>
      </w:pPr>
      <w:r>
        <w:rPr>
          <w:b w:val="false"/>
          <w:bCs w:val="false"/>
          <w:sz w:val="26"/>
          <w:szCs w:val="26"/>
          <w:lang w:val="uk-UA"/>
        </w:rPr>
        <w:t xml:space="preserve">                                                                                                          </w:t>
      </w:r>
      <w:r>
        <w:rPr>
          <w:b w:val="false"/>
          <w:bCs w:val="false"/>
          <w:sz w:val="26"/>
          <w:szCs w:val="26"/>
          <w:lang w:val="uk-UA"/>
        </w:rPr>
        <w:t>від ___________№____</w:t>
      </w:r>
    </w:p>
    <w:p>
      <w:pPr>
        <w:pStyle w:val="Normal"/>
        <w:shd w:val="clear" w:color="auto" w:fill="FFFFFF"/>
        <w:spacing w:before="24" w:after="0"/>
        <w:ind w:left="4251" w:hanging="4241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  <w:t xml:space="preserve">                                                        </w:t>
      </w:r>
    </w:p>
    <w:p>
      <w:pPr>
        <w:pStyle w:val="Normal"/>
        <w:ind w:left="-426" w:hanging="0"/>
        <w:jc w:val="both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  <w:t xml:space="preserve">           </w:t>
      </w:r>
    </w:p>
    <w:p>
      <w:pPr>
        <w:pStyle w:val="Normal"/>
        <w:shd w:val="clear" w:color="auto" w:fill="FFFFFF"/>
        <w:spacing w:before="24" w:after="0"/>
        <w:ind w:left="2552" w:hanging="2410"/>
        <w:jc w:val="center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  <w:t xml:space="preserve">Перелік </w:t>
      </w:r>
    </w:p>
    <w:p>
      <w:pPr>
        <w:pStyle w:val="Normal"/>
        <w:shd w:val="clear" w:color="auto" w:fill="FFFFFF"/>
        <w:spacing w:before="24" w:after="0"/>
        <w:ind w:left="567" w:hanging="0"/>
        <w:jc w:val="center"/>
        <w:rPr>
          <w:b w:val="false"/>
          <w:b w:val="false"/>
          <w:lang w:val="uk-UA"/>
        </w:rPr>
      </w:pPr>
      <w:r>
        <w:rPr>
          <w:b w:val="false"/>
          <w:lang w:val="uk-UA"/>
        </w:rPr>
        <w:t>об’єктів електропостачання, розташованих на території Слов’янської  міської ради,  які не мають  балансоутримувача та власника</w:t>
      </w:r>
    </w:p>
    <w:p>
      <w:pPr>
        <w:pStyle w:val="Normal"/>
        <w:shd w:val="clear" w:color="auto" w:fill="FFFFFF"/>
        <w:spacing w:before="24" w:after="0"/>
        <w:ind w:left="1418" w:hanging="1276"/>
        <w:jc w:val="center"/>
        <w:rPr>
          <w:b w:val="false"/>
          <w:b w:val="false"/>
          <w:lang w:val="uk-UA"/>
        </w:rPr>
      </w:pPr>
      <w:r>
        <w:rPr>
          <w:b w:val="false"/>
          <w:lang w:val="uk-UA"/>
        </w:rPr>
      </w:r>
    </w:p>
    <w:p>
      <w:pPr>
        <w:pStyle w:val="Normal"/>
        <w:shd w:val="clear" w:color="auto" w:fill="FFFFFF"/>
        <w:spacing w:before="24" w:after="0"/>
        <w:ind w:left="1418" w:hanging="1276"/>
        <w:jc w:val="center"/>
        <w:rPr>
          <w:b w:val="false"/>
          <w:b w:val="false"/>
          <w:lang w:val="uk-UA"/>
        </w:rPr>
      </w:pPr>
      <w:r>
        <w:rPr>
          <w:b w:val="false"/>
          <w:lang w:val="uk-UA"/>
        </w:rPr>
      </w:r>
    </w:p>
    <w:tbl>
      <w:tblPr>
        <w:tblStyle w:val="a5"/>
        <w:tblW w:w="9717" w:type="dxa"/>
        <w:jc w:val="left"/>
        <w:tblInd w:w="675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110"/>
        <w:gridCol w:w="5606"/>
      </w:tblGrid>
      <w:tr>
        <w:trPr/>
        <w:tc>
          <w:tcPr>
            <w:tcW w:w="4110" w:type="dxa"/>
            <w:tcBorders/>
            <w:shd w:fill="auto" w:val="clear"/>
          </w:tcPr>
          <w:p>
            <w:pPr>
              <w:pStyle w:val="Normal"/>
              <w:spacing w:before="24" w:after="0"/>
              <w:rPr>
                <w:b w:val="false"/>
                <w:b w:val="false"/>
                <w:szCs w:val="28"/>
                <w:lang w:val="uk-UA"/>
              </w:rPr>
            </w:pPr>
            <w:r>
              <w:rPr>
                <w:b w:val="false"/>
                <w:szCs w:val="28"/>
                <w:lang w:val="uk-UA"/>
              </w:rPr>
              <w:t xml:space="preserve">місце   знаходження об’єкту </w:t>
            </w:r>
          </w:p>
        </w:tc>
        <w:tc>
          <w:tcPr>
            <w:tcW w:w="5606" w:type="dxa"/>
            <w:tcBorders/>
            <w:shd w:fill="auto" w:val="clear"/>
          </w:tcPr>
          <w:p>
            <w:pPr>
              <w:pStyle w:val="Normal"/>
              <w:spacing w:before="24" w:after="0"/>
              <w:jc w:val="center"/>
              <w:rPr>
                <w:b w:val="false"/>
                <w:b w:val="false"/>
                <w:szCs w:val="28"/>
                <w:lang w:val="uk-UA"/>
              </w:rPr>
            </w:pPr>
            <w:r>
              <w:rPr>
                <w:b w:val="false"/>
                <w:szCs w:val="28"/>
                <w:lang w:val="uk-UA"/>
              </w:rPr>
              <w:t>Технічні характеристики об’єкту</w:t>
            </w:r>
          </w:p>
        </w:tc>
      </w:tr>
      <w:tr>
        <w:trPr/>
        <w:tc>
          <w:tcPr>
            <w:tcW w:w="4110" w:type="dxa"/>
            <w:tcBorders/>
            <w:shd w:fill="auto" w:val="clear"/>
          </w:tcPr>
          <w:p>
            <w:pPr>
              <w:pStyle w:val="BodyText2"/>
              <w:ind w:left="-121" w:right="-365" w:hanging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вул. Карпінського</w:t>
            </w:r>
          </w:p>
          <w:p>
            <w:pPr>
              <w:pStyle w:val="BodyText2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  <w:p>
            <w:pPr>
              <w:pStyle w:val="BodyText2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  <w:p>
            <w:pPr>
              <w:pStyle w:val="BodyText2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  <w:p>
            <w:pPr>
              <w:pStyle w:val="BodyText2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  <w:p>
            <w:pPr>
              <w:pStyle w:val="BodyText2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в’їзд  Карпінського</w:t>
            </w:r>
          </w:p>
          <w:p>
            <w:pPr>
              <w:pStyle w:val="BodyText2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  <w:p>
            <w:pPr>
              <w:pStyle w:val="Normal"/>
              <w:spacing w:before="24" w:after="0"/>
              <w:rPr>
                <w:b w:val="false"/>
                <w:b w:val="false"/>
                <w:szCs w:val="28"/>
                <w:lang w:val="uk-UA"/>
              </w:rPr>
            </w:pPr>
            <w:r>
              <w:rPr>
                <w:b w:val="false"/>
                <w:szCs w:val="28"/>
                <w:lang w:val="uk-UA"/>
              </w:rPr>
            </w:r>
          </w:p>
          <w:p>
            <w:pPr>
              <w:pStyle w:val="Normal"/>
              <w:spacing w:before="24" w:after="0"/>
              <w:rPr>
                <w:b w:val="false"/>
                <w:b w:val="false"/>
                <w:szCs w:val="28"/>
                <w:lang w:val="uk-UA"/>
              </w:rPr>
            </w:pPr>
            <w:r>
              <w:rPr>
                <w:b w:val="false"/>
                <w:szCs w:val="28"/>
                <w:lang w:val="uk-UA"/>
              </w:rPr>
            </w:r>
          </w:p>
          <w:p>
            <w:pPr>
              <w:pStyle w:val="Normal"/>
              <w:spacing w:before="24" w:after="0"/>
              <w:rPr>
                <w:b w:val="false"/>
                <w:b w:val="false"/>
                <w:szCs w:val="28"/>
                <w:lang w:val="uk-UA"/>
              </w:rPr>
            </w:pPr>
            <w:r>
              <w:rPr>
                <w:b w:val="false"/>
                <w:szCs w:val="28"/>
                <w:lang w:val="uk-UA"/>
              </w:rPr>
              <w:t>вул. Заводська</w:t>
            </w:r>
          </w:p>
        </w:tc>
        <w:tc>
          <w:tcPr>
            <w:tcW w:w="5606" w:type="dxa"/>
            <w:tcBorders/>
            <w:shd w:fill="auto" w:val="clear"/>
          </w:tcPr>
          <w:p>
            <w:pPr>
              <w:pStyle w:val="BodyText2"/>
              <w:ind w:right="-109" w:hanging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опори залізобетонні проміжні – 11 од.</w:t>
            </w:r>
          </w:p>
          <w:p>
            <w:pPr>
              <w:pStyle w:val="BodyText2"/>
              <w:ind w:right="-109" w:hanging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опори залізобетонні анкерні двостоякові         – 6 од.</w:t>
            </w:r>
          </w:p>
          <w:p>
            <w:pPr>
              <w:pStyle w:val="BodyText2"/>
              <w:ind w:right="-109" w:hanging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опори дерев’яні проміжні       -2 од.     </w:t>
            </w:r>
          </w:p>
          <w:p>
            <w:pPr>
              <w:pStyle w:val="BodyText2"/>
              <w:ind w:right="-109" w:hanging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лінії електромереж – 494м.</w:t>
            </w:r>
          </w:p>
          <w:p>
            <w:pPr>
              <w:pStyle w:val="BodyText2"/>
              <w:ind w:right="-109" w:hanging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  <w:p>
            <w:pPr>
              <w:pStyle w:val="BodyText2"/>
              <w:ind w:right="-109" w:hanging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опори залізобетонні проміжні – 2 од.</w:t>
            </w:r>
          </w:p>
          <w:p>
            <w:pPr>
              <w:pStyle w:val="BodyText2"/>
              <w:ind w:right="-109" w:hanging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опори дерев’яні проміжні       -3 од.     </w:t>
            </w:r>
          </w:p>
          <w:p>
            <w:pPr>
              <w:pStyle w:val="BodyText2"/>
              <w:ind w:right="-109" w:hanging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лінії електромереж – 130м.</w:t>
            </w:r>
          </w:p>
          <w:p>
            <w:pPr>
              <w:pStyle w:val="BodyText2"/>
              <w:ind w:right="-109" w:hanging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  <w:p>
            <w:pPr>
              <w:pStyle w:val="BodyText2"/>
              <w:ind w:right="-109" w:hanging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опори залізобетонні проміжні – 7 од.</w:t>
            </w:r>
          </w:p>
          <w:p>
            <w:pPr>
              <w:pStyle w:val="BodyText2"/>
              <w:ind w:right="-109" w:hanging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опори залізобетонні тролейбусні     проміжні -7 од.</w:t>
            </w:r>
          </w:p>
          <w:p>
            <w:pPr>
              <w:pStyle w:val="BodyText2"/>
              <w:ind w:right="-109" w:hanging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опори дерев’яні проміжні       -5 од.     </w:t>
            </w:r>
          </w:p>
          <w:p>
            <w:pPr>
              <w:pStyle w:val="BodyText2"/>
              <w:ind w:right="-109" w:hanging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лінії електромереж – 312м.</w:t>
            </w:r>
          </w:p>
          <w:p>
            <w:pPr>
              <w:pStyle w:val="BodyText2"/>
              <w:ind w:right="-109" w:hanging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  <w:p>
            <w:pPr>
              <w:pStyle w:val="BodyText2"/>
              <w:ind w:right="-109" w:hanging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  <w:p>
            <w:pPr>
              <w:pStyle w:val="BodyText2"/>
              <w:ind w:right="-109" w:hanging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  <w:p>
            <w:pPr>
              <w:pStyle w:val="BodyText2"/>
              <w:ind w:right="-109" w:hanging="0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</w:tc>
      </w:tr>
    </w:tbl>
    <w:p>
      <w:pPr>
        <w:pStyle w:val="Normal"/>
        <w:shd w:val="clear" w:color="auto" w:fill="FFFFFF"/>
        <w:spacing w:before="24" w:after="0"/>
        <w:ind w:left="1418" w:hanging="1276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</w:r>
    </w:p>
    <w:p>
      <w:pPr>
        <w:pStyle w:val="Normal"/>
        <w:shd w:val="clear" w:color="auto" w:fill="FFFFFF"/>
        <w:spacing w:before="24" w:after="0"/>
        <w:ind w:left="1418" w:hanging="1276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</w:r>
    </w:p>
    <w:p>
      <w:pPr>
        <w:pStyle w:val="Normal"/>
        <w:shd w:val="clear" w:color="auto" w:fill="FFFFFF"/>
        <w:spacing w:before="24" w:after="0"/>
        <w:ind w:left="1418" w:hanging="1276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</w:r>
    </w:p>
    <w:p>
      <w:pPr>
        <w:pStyle w:val="Normal"/>
        <w:shd w:val="clear" w:color="auto" w:fill="FFFFFF"/>
        <w:spacing w:before="24" w:after="0"/>
        <w:ind w:left="1418" w:hanging="1276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</w:r>
    </w:p>
    <w:p>
      <w:pPr>
        <w:pStyle w:val="Normal"/>
        <w:shd w:val="clear" w:color="auto" w:fill="FFFFFF"/>
        <w:spacing w:before="24" w:after="0"/>
        <w:ind w:left="1418" w:hanging="1276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  <w:t xml:space="preserve">       </w:t>
      </w:r>
      <w:r>
        <w:rPr>
          <w:b w:val="false"/>
          <w:szCs w:val="28"/>
          <w:lang w:val="uk-UA"/>
        </w:rPr>
        <w:t>Начальник управління житлово-</w:t>
      </w:r>
    </w:p>
    <w:p>
      <w:pPr>
        <w:pStyle w:val="Normal"/>
        <w:shd w:val="clear" w:color="auto" w:fill="FFFFFF"/>
        <w:spacing w:before="24" w:after="0"/>
        <w:ind w:left="1418" w:hanging="1276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  <w:t xml:space="preserve">       </w:t>
      </w:r>
      <w:r>
        <w:rPr>
          <w:b w:val="false"/>
          <w:szCs w:val="28"/>
          <w:lang w:val="uk-UA"/>
        </w:rPr>
        <w:t>комунального господарства                                                      В.Г.Башкаєв</w:t>
      </w:r>
    </w:p>
    <w:p>
      <w:pPr>
        <w:pStyle w:val="Normal"/>
        <w:shd w:val="clear" w:color="auto" w:fill="FFFFFF"/>
        <w:spacing w:before="24" w:after="0"/>
        <w:ind w:left="1418" w:hanging="1276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</w:r>
    </w:p>
    <w:p>
      <w:pPr>
        <w:pStyle w:val="Normal"/>
        <w:shd w:val="clear" w:color="auto" w:fill="FFFFFF"/>
        <w:spacing w:before="24" w:after="0"/>
        <w:ind w:left="1418" w:hanging="1276"/>
        <w:rPr>
          <w:b w:val="false"/>
          <w:b w:val="false"/>
          <w:szCs w:val="28"/>
          <w:lang w:val="uk-UA"/>
        </w:rPr>
      </w:pPr>
      <w:r>
        <w:rPr>
          <w:b w:val="false"/>
          <w:szCs w:val="28"/>
          <w:lang w:val="uk-UA"/>
        </w:rPr>
        <w:t xml:space="preserve">       </w:t>
      </w:r>
      <w:r>
        <w:rPr>
          <w:b w:val="false"/>
          <w:szCs w:val="28"/>
          <w:lang w:val="uk-UA"/>
        </w:rPr>
        <w:t>Заступник міського голови –</w:t>
      </w:r>
    </w:p>
    <w:p>
      <w:pPr>
        <w:pStyle w:val="Normal"/>
        <w:shd w:val="clear" w:color="auto" w:fill="FFFFFF"/>
        <w:spacing w:before="24" w:after="0"/>
        <w:ind w:left="1418" w:hanging="1276"/>
        <w:rPr/>
      </w:pPr>
      <w:r>
        <w:rPr>
          <w:b w:val="false"/>
          <w:szCs w:val="28"/>
          <w:lang w:val="uk-UA"/>
        </w:rPr>
        <w:t xml:space="preserve">       </w:t>
      </w:r>
      <w:r>
        <w:rPr>
          <w:b w:val="false"/>
          <w:szCs w:val="28"/>
          <w:lang w:val="uk-UA"/>
        </w:rPr>
        <w:t xml:space="preserve">керуючий справами виконкому                                                 В.М.Воропаєв </w:t>
      </w:r>
    </w:p>
    <w:sectPr>
      <w:type w:val="nextPage"/>
      <w:pgSz w:w="11906" w:h="16838"/>
      <w:pgMar w:left="993" w:right="737" w:header="0" w:top="567" w:footer="0" w:bottom="34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embedSystemFonts/>
  <w:defaultTabStop w:val="709"/>
  <w:compat/>
  <w:themeFontLang w:val="ru-RU" w:eastAsia="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9b22dd"/>
    <w:pPr>
      <w:widowControl/>
      <w:bidi w:val="0"/>
      <w:jc w:val="left"/>
    </w:pPr>
    <w:rPr>
      <w:rFonts w:ascii="Times New Roman" w:hAnsi="Times New Roman" w:eastAsia="Times New Roman" w:cs="Times New Roman"/>
      <w:b/>
      <w:bCs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qFormat/>
    <w:rsid w:val="009b22dd"/>
    <w:pPr>
      <w:keepNext w:val="true"/>
      <w:jc w:val="center"/>
      <w:outlineLvl w:val="0"/>
    </w:pPr>
    <w:rPr/>
  </w:style>
  <w:style w:type="paragraph" w:styleId="2">
    <w:name w:val="Heading 2"/>
    <w:basedOn w:val="Normal"/>
    <w:next w:val="Normal"/>
    <w:qFormat/>
    <w:rsid w:val="00c17ad2"/>
    <w:pPr>
      <w:keepNext w:val="true"/>
      <w:spacing w:before="240" w:after="60"/>
      <w:outlineLvl w:val="1"/>
    </w:pPr>
    <w:rPr>
      <w:rFonts w:ascii="Arial" w:hAnsi="Arial" w:cs="Arial"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qFormat/>
    <w:rsid w:val="008a22b4"/>
    <w:rPr>
      <w:b/>
      <w:bCs/>
    </w:rPr>
  </w:style>
  <w:style w:type="character" w:styleId="Kwrd" w:customStyle="1">
    <w:name w:val="kwrd"/>
    <w:basedOn w:val="DefaultParagraphFont"/>
    <w:qFormat/>
    <w:rsid w:val="008a22b4"/>
    <w:rPr/>
  </w:style>
  <w:style w:type="character" w:styleId="Refs" w:customStyle="1">
    <w:name w:val="refs"/>
    <w:basedOn w:val="DefaultParagraphFont"/>
    <w:qFormat/>
    <w:rsid w:val="008a22b4"/>
    <w:rPr/>
  </w:style>
  <w:style w:type="character" w:styleId="FontStyle" w:customStyle="1">
    <w:name w:val="Font Style"/>
    <w:qFormat/>
    <w:rsid w:val="002933e5"/>
    <w:rPr>
      <w:rFonts w:cs="Courier New"/>
      <w:color w:val="000000"/>
      <w:sz w:val="20"/>
      <w:szCs w:val="20"/>
    </w:rPr>
  </w:style>
  <w:style w:type="character" w:styleId="ListLabel1">
    <w:name w:val="ListLabel 1"/>
    <w:qFormat/>
    <w:rPr>
      <w:b w:val="false"/>
    </w:rPr>
  </w:style>
  <w:style w:type="character" w:styleId="ListLabel2">
    <w:name w:val="ListLabel 2"/>
    <w:qFormat/>
    <w:rPr>
      <w:rFonts w:eastAsia="Times New Roman" w:cs="Times New Roman"/>
    </w:rPr>
  </w:style>
  <w:style w:type="character" w:styleId="ListLabel3">
    <w:name w:val="ListLabel 3"/>
    <w:qFormat/>
    <w:rPr>
      <w:rFonts w:cs="Times New Roman"/>
      <w:b/>
    </w:rPr>
  </w:style>
  <w:style w:type="character" w:styleId="ListLabel4">
    <w:name w:val="ListLabel 4"/>
    <w:qFormat/>
    <w:rPr>
      <w:rFonts w:eastAsia="Times New Roman" w:cs="Times New Roman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sz w:val="28"/>
      <w:szCs w:val="28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b w:val="false"/>
      <w:sz w:val="28"/>
      <w:szCs w:val="28"/>
    </w:rPr>
  </w:style>
  <w:style w:type="character" w:styleId="ListLabel12">
    <w:name w:val="ListLabel 12"/>
    <w:qFormat/>
    <w:rPr>
      <w:b w:val="false"/>
    </w:rPr>
  </w:style>
  <w:style w:type="character" w:styleId="ListLabel13">
    <w:name w:val="ListLabel 13"/>
    <w:qFormat/>
    <w:rPr>
      <w:b w:val="false"/>
    </w:rPr>
  </w:style>
  <w:style w:type="character" w:styleId="ListLabel14">
    <w:name w:val="ListLabel 14"/>
    <w:qFormat/>
    <w:rPr>
      <w:b w:val="false"/>
    </w:rPr>
  </w:style>
  <w:style w:type="character" w:styleId="ListLabel15">
    <w:name w:val="ListLabel 15"/>
    <w:qFormat/>
    <w:rPr>
      <w:b w:val="false"/>
    </w:rPr>
  </w:style>
  <w:style w:type="character" w:styleId="ListLabel16">
    <w:name w:val="ListLabel 16"/>
    <w:qFormat/>
    <w:rPr>
      <w:b w:val="false"/>
    </w:rPr>
  </w:style>
  <w:style w:type="character" w:styleId="ListLabel17">
    <w:name w:val="ListLabel 17"/>
    <w:qFormat/>
    <w:rPr>
      <w:b w:val="false"/>
    </w:rPr>
  </w:style>
  <w:style w:type="character" w:styleId="ListLabel18">
    <w:name w:val="ListLabel 18"/>
    <w:qFormat/>
    <w:rPr>
      <w:b w:val="false"/>
    </w:rPr>
  </w:style>
  <w:style w:type="character" w:styleId="ListLabel19">
    <w:name w:val="ListLabel 19"/>
    <w:qFormat/>
    <w:rPr>
      <w:b w:val="false"/>
    </w:rPr>
  </w:style>
  <w:style w:type="character" w:styleId="ListLabel20">
    <w:name w:val="ListLabel 20"/>
    <w:qFormat/>
    <w:rPr>
      <w:rFonts w:eastAsia="Times New Roman" w:cs="Times New Roman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rsid w:val="00180dd8"/>
    <w:pPr/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Title"/>
    <w:basedOn w:val="Normal"/>
    <w:qFormat/>
    <w:rsid w:val="009b22dd"/>
    <w:pPr>
      <w:jc w:val="center"/>
    </w:pPr>
    <w:rPr>
      <w:sz w:val="24"/>
    </w:rPr>
  </w:style>
  <w:style w:type="paragraph" w:styleId="BodyText2">
    <w:name w:val="Body Text 2"/>
    <w:basedOn w:val="Normal"/>
    <w:qFormat/>
    <w:rsid w:val="00180dd8"/>
    <w:pPr>
      <w:ind w:right="-365" w:hanging="0"/>
    </w:pPr>
    <w:rPr>
      <w:b w:val="false"/>
      <w:bCs w:val="false"/>
    </w:rPr>
  </w:style>
  <w:style w:type="paragraph" w:styleId="BodyText3">
    <w:name w:val="Body Text 3"/>
    <w:basedOn w:val="Normal"/>
    <w:qFormat/>
    <w:rsid w:val="00180dd8"/>
    <w:pPr>
      <w:tabs>
        <w:tab w:val="clear" w:pos="709"/>
        <w:tab w:val="left" w:pos="0" w:leader="none"/>
      </w:tabs>
      <w:ind w:right="-365" w:hanging="0"/>
      <w:jc w:val="both"/>
    </w:pPr>
    <w:rPr>
      <w:b w:val="false"/>
      <w:bCs w:val="false"/>
      <w:lang w:val="uk-UA"/>
    </w:rPr>
  </w:style>
  <w:style w:type="paragraph" w:styleId="NormalWeb">
    <w:name w:val="Normal (Web)"/>
    <w:basedOn w:val="Normal"/>
    <w:qFormat/>
    <w:rsid w:val="00442df3"/>
    <w:pPr>
      <w:spacing w:beforeAutospacing="1" w:afterAutospacing="1"/>
      <w:ind w:firstLine="360"/>
    </w:pPr>
    <w:rPr>
      <w:b w:val="false"/>
      <w:bCs w:val="false"/>
      <w:sz w:val="24"/>
    </w:rPr>
  </w:style>
  <w:style w:type="paragraph" w:styleId="ParagraphStyle" w:customStyle="1">
    <w:name w:val="Paragraph Style"/>
    <w:qFormat/>
    <w:rsid w:val="002933e5"/>
    <w:pPr>
      <w:widowControl/>
      <w:bidi w:val="0"/>
      <w:jc w:val="left"/>
    </w:pPr>
    <w:rPr>
      <w:rFonts w:ascii="Courier New" w:hAnsi="Courier New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semiHidden/>
    <w:qFormat/>
    <w:rsid w:val="0058759a"/>
    <w:pPr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qFormat/>
    <w:rsid w:val="00c9079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ListParagraph">
    <w:name w:val="List Paragraph"/>
    <w:basedOn w:val="Normal"/>
    <w:qFormat/>
    <w:rsid w:val="00584bf5"/>
    <w:pPr>
      <w:spacing w:before="0" w:after="0"/>
      <w:ind w:left="720" w:hanging="0"/>
      <w:contextualSpacing/>
    </w:pPr>
    <w:rPr>
      <w:b w:val="false"/>
      <w:bCs w:val="false"/>
      <w:sz w:val="24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rsid w:val="0080449a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CE9E2-DAAD-41D3-8723-8D1017B04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LibreOffice/6.2.5.2$Windows_X86_64 LibreOffice_project/1ec314fa52f458adc18c4f025c545a4e8b22c159</Application>
  <Pages>1</Pages>
  <Words>97</Words>
  <Characters>709</Characters>
  <CharactersWithSpaces>1358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2020-01-28T06:10:00Z</dcterms:created>
  <dc:creator>Mashbyuro</dc:creator>
  <dc:description/>
  <dc:language>uk-UA</dc:language>
  <cp:lastModifiedBy/>
  <cp:lastPrinted>2019-12-18T09:45:00Z</cp:lastPrinted>
  <dcterms:modified xsi:type="dcterms:W3CDTF">2020-01-28T09:44:03Z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