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6120" w:hanging="0"/>
        <w:jc w:val="both"/>
        <w:rPr/>
      </w:pPr>
      <w:r>
        <w:rPr>
          <w:sz w:val="24"/>
          <w:szCs w:val="24"/>
          <w:lang w:val="uk-UA"/>
        </w:rPr>
        <w:t>ЗАТВЕРДЖЕНО</w:t>
      </w:r>
    </w:p>
    <w:p>
      <w:pPr>
        <w:pStyle w:val="Normal"/>
        <w:ind w:left="6120" w:hanging="0"/>
        <w:jc w:val="both"/>
        <w:rPr>
          <w:lang w:val="ru-RU"/>
        </w:rPr>
      </w:pPr>
      <w:r>
        <w:rPr>
          <w:sz w:val="24"/>
          <w:szCs w:val="24"/>
          <w:lang w:val="uk-UA"/>
        </w:rPr>
        <w:t>Розпорядження начальника</w:t>
      </w:r>
    </w:p>
    <w:p>
      <w:pPr>
        <w:pStyle w:val="Normal"/>
        <w:ind w:left="6120" w:hanging="0"/>
        <w:jc w:val="both"/>
        <w:rPr>
          <w:lang w:val="ru-RU"/>
        </w:rPr>
      </w:pPr>
      <w:r>
        <w:rPr>
          <w:sz w:val="24"/>
          <w:szCs w:val="24"/>
          <w:lang w:val="uk-UA"/>
        </w:rPr>
        <w:t>Слов’янської міської військової адміністрації</w:t>
      </w:r>
    </w:p>
    <w:p>
      <w:pPr>
        <w:pStyle w:val="Normal"/>
        <w:ind w:left="6120" w:hanging="0"/>
        <w:jc w:val="both"/>
        <w:rPr>
          <w:lang w:val="ru-RU"/>
        </w:rPr>
      </w:pPr>
      <w:r>
        <w:rPr>
          <w:sz w:val="24"/>
          <w:szCs w:val="24"/>
          <w:lang w:val="uk-UA"/>
        </w:rPr>
        <w:t>11.10.2024</w:t>
      </w:r>
      <w:bookmarkStart w:id="0" w:name="_GoBack"/>
      <w:bookmarkEnd w:id="0"/>
      <w:r>
        <w:rPr>
          <w:sz w:val="24"/>
          <w:szCs w:val="24"/>
          <w:lang w:val="uk-UA"/>
        </w:rPr>
        <w:t xml:space="preserve">  № 1847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i/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</w:r>
    </w:p>
    <w:p>
      <w:pPr>
        <w:pStyle w:val="Normal"/>
        <w:jc w:val="center"/>
        <w:rPr>
          <w:lang w:val="ru-RU"/>
        </w:rPr>
      </w:pPr>
      <w:r>
        <w:rPr>
          <w:b/>
          <w:bCs/>
          <w:sz w:val="28"/>
          <w:szCs w:val="28"/>
          <w:lang w:val="uk-UA"/>
        </w:rPr>
        <w:t>1. ПАСПОРТ</w:t>
      </w:r>
    </w:p>
    <w:p>
      <w:pPr>
        <w:pStyle w:val="Normal"/>
        <w:jc w:val="center"/>
        <w:rPr>
          <w:lang w:val="ru-RU"/>
        </w:rPr>
      </w:pPr>
      <w:r>
        <w:rPr>
          <w:sz w:val="28"/>
          <w:szCs w:val="28"/>
          <w:lang w:val="uk-UA"/>
        </w:rPr>
        <w:t>Програми сприяння розвитку та надання фінансової допомоги військовим частинам Збройних Сил України на 2025 рік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tbl>
      <w:tblPr>
        <w:tblW w:w="9874" w:type="dxa"/>
        <w:jc w:val="left"/>
        <w:tblInd w:w="-106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74"/>
        <w:gridCol w:w="3030"/>
        <w:gridCol w:w="1333"/>
        <w:gridCol w:w="851"/>
        <w:gridCol w:w="851"/>
        <w:gridCol w:w="1275"/>
        <w:gridCol w:w="1104"/>
        <w:gridCol w:w="854"/>
      </w:tblGrid>
      <w:tr>
        <w:trPr/>
        <w:tc>
          <w:tcPr>
            <w:tcW w:w="5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3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uk-UA"/>
              </w:rPr>
              <w:t>Мета Програми</w:t>
            </w:r>
          </w:p>
        </w:tc>
        <w:tc>
          <w:tcPr>
            <w:tcW w:w="626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Сприяння забезпеченню готовності громадян України до національного спротиву та </w:t>
            </w:r>
            <w:r>
              <w:rPr>
                <w:sz w:val="24"/>
                <w:szCs w:val="24"/>
                <w:shd w:fill="FFFFFF" w:val="clear"/>
                <w:lang w:val="uk-UA"/>
              </w:rPr>
              <w:t>відсічі збройної агресії російської федерації проти України, забезпечення національної безпеки, підтримки місцевої інфраструктури, соціального захисту населення</w:t>
            </w:r>
            <w:r>
              <w:rPr>
                <w:sz w:val="24"/>
                <w:szCs w:val="24"/>
                <w:lang w:val="uk-UA"/>
              </w:rPr>
              <w:t xml:space="preserve"> на території Слов’янської міської територіальної громади, шляхом створення належних умов праці співробітникам та їх відповідне матеріально-технічне забезпечення</w:t>
            </w:r>
          </w:p>
        </w:tc>
      </w:tr>
      <w:tr>
        <w:trPr/>
        <w:tc>
          <w:tcPr>
            <w:tcW w:w="5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3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4"/>
                <w:szCs w:val="24"/>
                <w:lang w:val="uk-UA"/>
              </w:rPr>
              <w:t>Цілі, визначені Стратегією розвитку Донецької області, Стратегією розвитку Слов’янської міської територіальної громади (за наявності)(іншими стратегічними документами), на досягнення яких спрямована Програма</w:t>
            </w:r>
          </w:p>
        </w:tc>
        <w:tc>
          <w:tcPr>
            <w:tcW w:w="626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Ефективне управління та безпека в умовах зовнішніх і внутрішніх викликів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</w:tr>
      <w:tr>
        <w:trPr/>
        <w:tc>
          <w:tcPr>
            <w:tcW w:w="5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3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lang w:val="ru-RU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Дата, номер і назва розпорядчого документа про розроблення проєкту Програми</w:t>
            </w:r>
          </w:p>
        </w:tc>
        <w:tc>
          <w:tcPr>
            <w:tcW w:w="626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lineRule="exact" w:line="240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23.09.2024</w:t>
            </w:r>
            <w:r>
              <w:rPr>
                <w:color w:val="FF0000"/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№ 1715</w:t>
            </w:r>
            <w:r>
              <w:rPr>
                <w:color w:val="FF0000"/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«Про розробку проєкту Програми сприяння розвитку та надання фінансової допомоги військовим частинам Збройних Сил України на 2025 рік»</w:t>
            </w:r>
          </w:p>
        </w:tc>
      </w:tr>
      <w:tr>
        <w:trPr/>
        <w:tc>
          <w:tcPr>
            <w:tcW w:w="5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3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4"/>
                <w:szCs w:val="24"/>
                <w:lang w:val="uk-UA"/>
              </w:rPr>
              <w:t>Розробник Програми</w:t>
            </w:r>
          </w:p>
        </w:tc>
        <w:tc>
          <w:tcPr>
            <w:tcW w:w="626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FR2"/>
              <w:tabs>
                <w:tab w:val="left" w:pos="284" w:leader="none"/>
              </w:tabs>
              <w:ind w:left="0" w:hanging="0"/>
              <w:jc w:val="both"/>
              <w:rPr/>
            </w:pPr>
            <w:r>
              <w:rPr>
                <w:spacing w:val="-5"/>
                <w:sz w:val="24"/>
                <w:szCs w:val="24"/>
              </w:rPr>
              <w:t>Відділ з питань цивільного захисту, мобілізаційної та оборонної роботи Слов’янської міської ВА</w:t>
            </w:r>
          </w:p>
        </w:tc>
      </w:tr>
      <w:tr>
        <w:trPr/>
        <w:tc>
          <w:tcPr>
            <w:tcW w:w="5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3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4"/>
                <w:szCs w:val="24"/>
                <w:lang w:val="uk-UA"/>
              </w:rPr>
              <w:t>Відповідальний виконавець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uk-UA"/>
              </w:rPr>
              <w:t>Програми</w:t>
            </w:r>
          </w:p>
        </w:tc>
        <w:tc>
          <w:tcPr>
            <w:tcW w:w="626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FR2"/>
              <w:tabs>
                <w:tab w:val="left" w:pos="284" w:leader="none"/>
              </w:tabs>
              <w:ind w:left="0" w:hanging="0"/>
              <w:jc w:val="both"/>
              <w:rPr/>
            </w:pPr>
            <w:r>
              <w:rPr>
                <w:spacing w:val="-4"/>
                <w:sz w:val="24"/>
                <w:szCs w:val="24"/>
              </w:rPr>
              <w:t>Слов’янська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 Слов’янської міської ВА</w:t>
            </w:r>
          </w:p>
        </w:tc>
      </w:tr>
      <w:tr>
        <w:trPr/>
        <w:tc>
          <w:tcPr>
            <w:tcW w:w="5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3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4"/>
                <w:szCs w:val="24"/>
                <w:lang w:val="uk-UA"/>
              </w:rPr>
              <w:t>Співвиконавці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uk-UA"/>
              </w:rPr>
              <w:t>Програми</w:t>
            </w:r>
          </w:p>
        </w:tc>
        <w:tc>
          <w:tcPr>
            <w:tcW w:w="626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Військові частини Збройних Сил України</w:t>
            </w:r>
          </w:p>
        </w:tc>
      </w:tr>
      <w:tr>
        <w:trPr>
          <w:trHeight w:val="268" w:hRule="atLeast"/>
        </w:trPr>
        <w:tc>
          <w:tcPr>
            <w:tcW w:w="5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3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4"/>
                <w:szCs w:val="24"/>
              </w:rPr>
              <w:t xml:space="preserve">Строки </w:t>
            </w:r>
            <w:r>
              <w:rPr>
                <w:color w:val="000000"/>
                <w:sz w:val="24"/>
                <w:szCs w:val="24"/>
                <w:lang w:val="uk-UA"/>
              </w:rPr>
              <w:t>реалізації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uk-UA"/>
              </w:rPr>
              <w:t>Програми</w:t>
            </w:r>
          </w:p>
        </w:tc>
        <w:tc>
          <w:tcPr>
            <w:tcW w:w="626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2025 рік</w:t>
            </w:r>
          </w:p>
        </w:tc>
      </w:tr>
      <w:tr>
        <w:trPr>
          <w:trHeight w:val="268" w:hRule="atLeast"/>
        </w:trPr>
        <w:tc>
          <w:tcPr>
            <w:tcW w:w="5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303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lang w:val="ru-RU"/>
              </w:rPr>
            </w:pPr>
            <w:r>
              <w:rPr>
                <w:sz w:val="24"/>
                <w:szCs w:val="24"/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ru-RU"/>
              </w:rPr>
            </w:pPr>
            <w:r>
              <w:rPr>
                <w:sz w:val="24"/>
                <w:szCs w:val="24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ru-RU"/>
              </w:rPr>
            </w:pPr>
            <w:r>
              <w:rPr>
                <w:sz w:val="24"/>
                <w:szCs w:val="24"/>
                <w:lang w:val="uk-UA"/>
              </w:rPr>
              <w:t>у тому числі за роками:</w:t>
            </w:r>
          </w:p>
        </w:tc>
        <w:tc>
          <w:tcPr>
            <w:tcW w:w="133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/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/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493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58" w:hRule="atLeast"/>
        </w:trPr>
        <w:tc>
          <w:tcPr>
            <w:tcW w:w="5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jc w:val="center"/>
              <w:rPr>
                <w:b/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</w:r>
          </w:p>
        </w:tc>
        <w:tc>
          <w:tcPr>
            <w:tcW w:w="303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jc w:val="both"/>
              <w:rPr>
                <w:b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u-RU"/>
              </w:rPr>
            </w:r>
          </w:p>
        </w:tc>
        <w:tc>
          <w:tcPr>
            <w:tcW w:w="133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jc w:val="both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8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/>
        <w:tc>
          <w:tcPr>
            <w:tcW w:w="5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  <w:lang w:val="uk-UA"/>
              </w:rPr>
              <w:t>8.1</w:t>
            </w:r>
          </w:p>
        </w:tc>
        <w:tc>
          <w:tcPr>
            <w:tcW w:w="3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>
                <w:sz w:val="24"/>
                <w:szCs w:val="24"/>
                <w:lang w:val="uk-UA"/>
              </w:rPr>
              <w:t>2025 рік</w:t>
            </w:r>
          </w:p>
        </w:tc>
        <w:tc>
          <w:tcPr>
            <w:tcW w:w="1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8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</w:tr>
      <w:tr>
        <w:trPr/>
        <w:tc>
          <w:tcPr>
            <w:tcW w:w="5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3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uk-UA"/>
              </w:rPr>
              <w:t>Очікуваний результат виконання Програми</w:t>
            </w:r>
          </w:p>
        </w:tc>
        <w:tc>
          <w:tcPr>
            <w:tcW w:w="626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Придбання матеріально – технічного оснащення</w:t>
            </w:r>
          </w:p>
        </w:tc>
      </w:tr>
      <w:tr>
        <w:trPr/>
        <w:tc>
          <w:tcPr>
            <w:tcW w:w="5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3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4"/>
                <w:szCs w:val="24"/>
                <w:lang w:val="uk-UA"/>
              </w:rPr>
              <w:t>Ефективність Програми</w:t>
            </w:r>
          </w:p>
        </w:tc>
        <w:tc>
          <w:tcPr>
            <w:tcW w:w="626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Забезпечено умови для ефективного виконання своїх обов’язків військовослужбовцями Збройних Сил України.</w:t>
            </w:r>
          </w:p>
        </w:tc>
      </w:tr>
    </w:tbl>
    <w:p>
      <w:pPr>
        <w:pStyle w:val="Normal"/>
        <w:jc w:val="both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Визначення проблеми, на розв’язання якої спрямована Програма</w:t>
      </w:r>
    </w:p>
    <w:p>
      <w:pPr>
        <w:pStyle w:val="Normal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Програму сприяння розвитку та надання фінансової допомоги військовим частинам Збройних Сил України на 2025 рік (далі – Програма) розроблено відповідно до:</w:t>
      </w:r>
    </w:p>
    <w:p>
      <w:pPr>
        <w:pStyle w:val="Normal"/>
        <w:ind w:firstLine="500"/>
        <w:jc w:val="both"/>
        <w:rPr>
          <w:lang w:val="uk-UA"/>
        </w:rPr>
      </w:pPr>
      <w:r>
        <w:rPr>
          <w:color w:val="000000"/>
          <w:sz w:val="24"/>
          <w:szCs w:val="24"/>
          <w:lang w:val="uk-UA"/>
        </w:rPr>
        <w:t>Бюджетного кодексу України;</w:t>
      </w:r>
    </w:p>
    <w:p>
      <w:pPr>
        <w:pStyle w:val="Normal"/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Закону України від 09 липня 2022 року № 2390-IX «Про внесення змін  до розділу VI «Прикінцеві та перехідні положення» Бюджетного кодексу України щодо посилення гнучкості місцевих бюджетів та підвищення оперативності прийняття рішень».</w:t>
      </w:r>
    </w:p>
    <w:p>
      <w:pPr>
        <w:pStyle w:val="7"/>
        <w:tabs>
          <w:tab w:val="left" w:pos="0" w:leader="none"/>
        </w:tabs>
        <w:spacing w:before="0" w:after="0"/>
        <w:ind w:firstLine="500"/>
        <w:jc w:val="both"/>
        <w:rPr>
          <w:lang w:val="ru-RU"/>
        </w:rPr>
      </w:pPr>
      <w:r>
        <w:rPr>
          <w:rFonts w:cs="Times New Roman" w:ascii="Times New Roman" w:hAnsi="Times New Roman"/>
          <w:color w:val="000000"/>
          <w:lang w:val="uk-UA"/>
        </w:rPr>
        <w:t>Указів Президента України:</w:t>
      </w:r>
    </w:p>
    <w:p>
      <w:pPr>
        <w:pStyle w:val="Normal"/>
        <w:shd w:val="clear" w:color="auto" w:fill="FFFFFF"/>
        <w:tabs>
          <w:tab w:val="left" w:pos="0" w:leader="none"/>
        </w:tabs>
        <w:jc w:val="both"/>
        <w:rPr>
          <w:lang w:val="ru-RU"/>
        </w:rPr>
      </w:pPr>
      <w:r>
        <w:rPr>
          <w:color w:val="000000"/>
          <w:sz w:val="24"/>
          <w:szCs w:val="24"/>
          <w:lang w:val="uk-UA"/>
        </w:rPr>
        <w:t>від 14.06.2021 № 291-11т/2021 «Щодо безпекової ситуації на адміністративній межі з тимчасово окупованою територією Автономної Республіки Крим, а також у Херсонській, Запорізькій, Одеській, Миколаївській та Донецькій областях»;</w:t>
      </w:r>
    </w:p>
    <w:p>
      <w:pPr>
        <w:pStyle w:val="Normal"/>
        <w:tabs>
          <w:tab w:val="left" w:pos="0" w:leader="none"/>
        </w:tabs>
        <w:jc w:val="both"/>
        <w:rPr>
          <w:lang w:val="ru-RU"/>
        </w:rPr>
      </w:pPr>
      <w:r>
        <w:rPr>
          <w:color w:val="000000"/>
          <w:sz w:val="24"/>
          <w:szCs w:val="24"/>
          <w:lang w:val="uk-UA"/>
        </w:rPr>
        <w:t>від 23.09.2016 № 406/2016 «Про Положення про територіальну оборону України»</w:t>
      </w:r>
    </w:p>
    <w:p>
      <w:pPr>
        <w:pStyle w:val="Normal"/>
        <w:tabs>
          <w:tab w:val="left" w:pos="0" w:leader="none"/>
        </w:tabs>
        <w:jc w:val="both"/>
        <w:rPr>
          <w:lang w:val="ru-RU"/>
        </w:rPr>
      </w:pPr>
      <w:r>
        <w:rPr>
          <w:color w:val="000000"/>
          <w:sz w:val="24"/>
          <w:szCs w:val="24"/>
          <w:lang w:val="uk-UA"/>
        </w:rPr>
        <w:t>від 01.05.2014 № 447/2014 «Про заходи щодо підвищення обороноздатності держави»;</w:t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 xml:space="preserve">від 24.09.2014 </w:t>
      </w:r>
      <w:r>
        <w:fldChar w:fldCharType="begin"/>
      </w:r>
      <w:r>
        <w:instrText> HYPERLINK "http://zakon5.rada.gov.ua/laws/show/744/2014/paran5" \l "_blank"</w:instrText>
      </w:r>
      <w:r>
        <w:fldChar w:fldCharType="separate"/>
      </w:r>
      <w:r>
        <w:rPr>
          <w:rStyle w:val="Style12"/>
          <w:color w:val="00000A"/>
          <w:sz w:val="24"/>
          <w:szCs w:val="24"/>
          <w:u w:val="none"/>
          <w:lang w:val="uk-UA"/>
        </w:rPr>
        <w:t>№744/2014</w:t>
      </w:r>
      <w:r>
        <w:fldChar w:fldCharType="end"/>
      </w:r>
      <w:r>
        <w:rPr>
          <w:sz w:val="24"/>
          <w:szCs w:val="24"/>
          <w:lang w:val="uk-UA"/>
        </w:rPr>
        <w:t xml:space="preserve"> «Про рішення Ради національної безпеки і оборони України», «Про невідкладні заходи щодо захисту України та зміцнення її обороноздатності».</w:t>
      </w:r>
    </w:p>
    <w:p>
      <w:pPr>
        <w:pStyle w:val="Normal"/>
        <w:ind w:firstLine="567"/>
        <w:jc w:val="both"/>
        <w:rPr>
          <w:lang w:val="uk-UA"/>
        </w:rPr>
      </w:pPr>
      <w:r>
        <w:rPr>
          <w:sz w:val="24"/>
          <w:szCs w:val="24"/>
          <w:lang w:val="uk-UA"/>
        </w:rPr>
        <w:t>Постанов Кабінету Міністрів України:</w:t>
      </w:r>
    </w:p>
    <w:p>
      <w:pPr>
        <w:pStyle w:val="Normal"/>
        <w:jc w:val="both"/>
        <w:rPr>
          <w:lang w:val="uk-UA"/>
        </w:rPr>
      </w:pPr>
      <w:r>
        <w:rPr>
          <w:sz w:val="24"/>
          <w:szCs w:val="24"/>
          <w:lang w:val="uk-UA" w:eastAsia="uk-UA"/>
        </w:rPr>
        <w:t xml:space="preserve">від 29.12.2021 № 1448 «Про затвердження Порядку застосування членами </w:t>
      </w:r>
      <w:bookmarkStart w:id="1" w:name="_Hlk95748984"/>
      <w:r>
        <w:rPr>
          <w:sz w:val="24"/>
          <w:szCs w:val="24"/>
          <w:lang w:val="uk-UA" w:eastAsia="uk-UA"/>
        </w:rPr>
        <w:t xml:space="preserve">добровольчих формувань територіальних громад </w:t>
      </w:r>
      <w:bookmarkEnd w:id="1"/>
      <w:r>
        <w:rPr>
          <w:sz w:val="24"/>
          <w:szCs w:val="24"/>
          <w:lang w:val="uk-UA" w:eastAsia="uk-UA"/>
        </w:rPr>
        <w:t>особистої мисливської зброї та набоїв до неї під час виконання завдань територіальної оборони»;</w:t>
      </w:r>
    </w:p>
    <w:p>
      <w:pPr>
        <w:pStyle w:val="Normal"/>
        <w:jc w:val="both"/>
        <w:rPr>
          <w:sz w:val="24"/>
          <w:szCs w:val="24"/>
          <w:lang w:val="uk-UA" w:eastAsia="uk-UA"/>
        </w:rPr>
      </w:pPr>
      <w:r>
        <w:rPr>
          <w:sz w:val="24"/>
          <w:szCs w:val="24"/>
          <w:lang w:val="uk-UA" w:eastAsia="uk-UA"/>
        </w:rPr>
        <w:t>від 29.12.2021 № 1449 «Про затвердження Положення про добровольчі формування територіальних громад»;</w:t>
      </w:r>
    </w:p>
    <w:p>
      <w:pPr>
        <w:pStyle w:val="Normal"/>
        <w:jc w:val="both"/>
        <w:rPr>
          <w:sz w:val="24"/>
          <w:szCs w:val="24"/>
          <w:lang w:val="uk-UA" w:eastAsia="uk-UA"/>
        </w:rPr>
      </w:pPr>
      <w:r>
        <w:rPr>
          <w:sz w:val="24"/>
          <w:szCs w:val="24"/>
          <w:lang w:val="uk-UA"/>
        </w:rPr>
        <w:t>від 11 березня 2022 року № 252 «Деякі питання формування та виконання місцевих бюджетів у період воєнного стану».</w:t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 w:eastAsia="uk-UA"/>
        </w:rPr>
        <w:t xml:space="preserve">01 січня 2022 року введено в дію Закон України «Про основи національного спротиву». </w:t>
      </w:r>
      <w:r>
        <w:rPr>
          <w:color w:val="000000"/>
          <w:sz w:val="24"/>
          <w:szCs w:val="24"/>
          <w:lang w:val="uk-UA"/>
        </w:rPr>
        <w:t>Основними завданнями Закону є: формування в Україні національного спротиву; сприяння максимально широкому залученню населення до дій, спрямованих на забезпечення суверенітету і територіальної цілісності держави; визначення завдань територіальної оборони, руху опору і підготовки громадян України до національного спротиву; забезпечення соціального захисту військовослужбовців і добровольців Сил територіальної оборони Збройних Сил України та осіб, які виконують завдання руху опору</w:t>
      </w:r>
      <w:r>
        <w:rPr>
          <w:color w:val="000000"/>
          <w:sz w:val="28"/>
          <w:szCs w:val="28"/>
          <w:lang w:val="ru-RU"/>
        </w:rPr>
        <w:t>.</w:t>
      </w:r>
    </w:p>
    <w:p>
      <w:pPr>
        <w:pStyle w:val="Normal"/>
        <w:ind w:firstLine="567"/>
        <w:jc w:val="both"/>
        <w:rPr>
          <w:lang w:val="uk-UA"/>
        </w:rPr>
      </w:pPr>
      <w:r>
        <w:rPr>
          <w:sz w:val="24"/>
          <w:szCs w:val="24"/>
          <w:lang w:val="uk-UA"/>
        </w:rPr>
        <w:t>Підвищення обороноздатності України і боєздатності її Збройних Сил – одне з найважливіших державних завдань, а захист Вітчизни є обов’язком громадян України, як визначено статтями 17 та 65 Конституції України. Виходячи із сучасних воєнно-політичних умов, очевидною необхідністю стає з</w:t>
      </w:r>
      <w:r>
        <w:rPr>
          <w:color w:val="000000"/>
          <w:sz w:val="24"/>
          <w:szCs w:val="24"/>
          <w:lang w:val="uk-UA"/>
        </w:rPr>
        <w:t>береження та розвиток територій, підвищення рівня громадської безпеки і порядку, розвиток інфраструктури та підтримка громадських ініціатив у сфері безпеки, організація надійної системи територіальної оборони, руху опору та підготовки громадян України до національного спротиву.</w:t>
      </w:r>
    </w:p>
    <w:p>
      <w:pPr>
        <w:pStyle w:val="Normal"/>
        <w:ind w:firstLine="567"/>
        <w:jc w:val="both"/>
        <w:rPr>
          <w:lang w:val="uk-UA"/>
        </w:rPr>
      </w:pPr>
      <w:r>
        <w:rPr>
          <w:color w:val="000000"/>
          <w:sz w:val="24"/>
          <w:szCs w:val="24"/>
          <w:lang w:val="uk-UA"/>
        </w:rPr>
        <w:t xml:space="preserve">Для виконання завдань з територіальної оборони щодо відсічі збройної агресії, забезпечення недоторканності державного кордону та захисту держави, охорони та оборони важливих об’єктів в комунікацій, оборони населених пунктів, організації руху опору, підтримання правового режиму воєнного стану, передбачено створення підрозділів Сил територіальної оборони. </w:t>
      </w:r>
    </w:p>
    <w:p>
      <w:pPr>
        <w:pStyle w:val="Normal"/>
        <w:ind w:firstLine="567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Для розміщення військових частин Сил територіальної оборони Збройних Сил України в межах Слов’янської міської територіальної громади використовується інфраструктура військових адміністрацій у порядку, визначеному Кабінетом Міністрів України. </w:t>
      </w:r>
    </w:p>
    <w:p>
      <w:pPr>
        <w:pStyle w:val="Normal"/>
        <w:ind w:firstLine="567"/>
        <w:jc w:val="both"/>
        <w:rPr>
          <w:lang w:val="uk-UA"/>
        </w:rPr>
      </w:pPr>
      <w:r>
        <w:rPr>
          <w:rFonts w:eastAsia="Microsoft YaHei"/>
          <w:sz w:val="24"/>
          <w:szCs w:val="24"/>
          <w:lang w:val="uk-UA"/>
        </w:rPr>
        <w:t xml:space="preserve">Повномасштабна військова агресія з боку рф стала серйозним викликом для реформи місцевого самоврядування. Лунають повітряні тривоги, є загрози ракетних обстрілів, які подекуди бувають фатальними для мирних людей та незважаючи на ці складні виклики, спричинені війною, </w:t>
      </w:r>
      <w:r>
        <w:rPr>
          <w:sz w:val="24"/>
          <w:szCs w:val="24"/>
          <w:lang w:val="uk-UA"/>
        </w:rPr>
        <w:t>територіальна оборона залишається на сьогодні одним з найбільш економічних та доцільних способів забезпечення і підтримання на високому рівні обороноздатності громади, захисту населення від ризиків загроз військового характеру.</w:t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>Станом на сьогодні батальйон територіальної оборони та військова частина ЗСУ базується на території Слов’янської міської територіальної громади.</w:t>
      </w:r>
    </w:p>
    <w:p>
      <w:pPr>
        <w:pStyle w:val="16"/>
        <w:ind w:firstLine="567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 xml:space="preserve">Програма заснована на воєнних реаліях, припущеннях та економічних показниках. Точкою відліку реалізації Програми є початок збройної агресії  на території України -24.02.2022. Вони базуються на аналізі ситуації, що склалася, враховують макроекономічні прогнози. 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Крім того, П</w:t>
      </w: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 xml:space="preserve">рограма визначає основні напрямки підтримки підрозділів Сил територіальної оборони, </w:t>
      </w:r>
      <w:r>
        <w:rPr>
          <w:rFonts w:cs="Times New Roman" w:ascii="Times New Roman" w:hAnsi="Times New Roman"/>
          <w:sz w:val="24"/>
          <w:szCs w:val="24"/>
        </w:rPr>
        <w:t>потреби в матеріально-технічному забезпеченні військових частин  Збройних Сил України.</w:t>
      </w:r>
    </w:p>
    <w:p>
      <w:pPr>
        <w:pStyle w:val="Normal"/>
        <w:tabs>
          <w:tab w:val="left" w:pos="0" w:leader="none"/>
        </w:tabs>
        <w:ind w:firstLine="709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Відповідно до Закону України «Про основи національного спротиву»,  </w:t>
      </w:r>
      <w:r>
        <w:rPr>
          <w:sz w:val="24"/>
          <w:szCs w:val="24"/>
          <w:lang w:val="uk-UA"/>
        </w:rPr>
        <w:t xml:space="preserve">пропозиції Ради національної безпеки і оборони України, відповідно до пункту 20 частини першої статті 106 Конституції України та необхідністю задовольнити потребу </w:t>
      </w:r>
      <w:r>
        <w:rPr>
          <w:sz w:val="24"/>
          <w:szCs w:val="24"/>
          <w:shd w:fill="FFFFFF" w:val="clear"/>
          <w:lang w:val="uk-UA"/>
        </w:rPr>
        <w:t xml:space="preserve">для надання всебічної допомоги з придбання необхідного майна  для  військових  частин, підрозділи яких беруть участь у захисті суверенітету нашої держави та виконують бойові завдання </w:t>
      </w:r>
      <w:r>
        <w:rPr>
          <w:color w:val="000000"/>
          <w:sz w:val="24"/>
          <w:szCs w:val="24"/>
          <w:lang w:val="uk-UA"/>
        </w:rPr>
        <w:t>фінансування та матеріально-технічне забезпечення військових частин Збройних Сил України здійснюються за рахунок і в межах коштів Державного бюджету України, місцевих бюджетів, а також з інших, не заборонених чинним законодавством України джерел.</w:t>
      </w:r>
    </w:p>
    <w:p>
      <w:pPr>
        <w:pStyle w:val="NoSpacing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У зв’язку з недостатнім наповненням та дефіцитом Державного бюджету України є потреба у здійсненні додаткового фінансування матеріальних та побутових потреб військових частин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Збройних Сил України </w:t>
      </w:r>
      <w:r>
        <w:rPr>
          <w:rFonts w:cs="Times New Roman" w:ascii="Times New Roman" w:hAnsi="Times New Roman"/>
          <w:sz w:val="24"/>
          <w:szCs w:val="24"/>
        </w:rPr>
        <w:t>з бюджету громади.</w:t>
      </w:r>
    </w:p>
    <w:p>
      <w:pPr>
        <w:pStyle w:val="NoSpacing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sz w:val="24"/>
          <w:szCs w:val="24"/>
        </w:rPr>
        <w:t>Водночас, існують проблемні питання, які заважають організації та якісному виконанню завдань і заходів організації територіальної оборони на території громади та військових частин Збройних Сил України, а саме:</w:t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>- недостатній рівень підготовки органів управління та у цілому системи управління відповідними заходами в мирний час та особливий період;</w:t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>- дефіцит необхідних для організації і ведення роботи бланків, інших формалізованих документів, канцелярських товарів;</w:t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>- невирішеність питань щодо транспортного забезпечення заходів з оповіщення військовозобов’язаних, доставки їх до пунктів збору, військових частин та місць проведення навчань (тренувань) тощо;</w:t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>- недостатнє фінансове та матеріальне забезпечення військових частин Збройних Сил України;</w:t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 xml:space="preserve">- невирішеність фінансування питань створення та існування </w:t>
      </w:r>
      <w:r>
        <w:rPr>
          <w:sz w:val="24"/>
          <w:szCs w:val="24"/>
          <w:lang w:val="uk-UA" w:eastAsia="uk-UA"/>
        </w:rPr>
        <w:t>добровольчих формувань територіальної громади.</w:t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>Вирішенню зазначених проблем можуть сприяти тільки організовані спільні дії державних та місцевих органів виконавчої влади, військові адміністрації та органів військового управління, за умови фінансового забезпечення заходів через відповідну програму, це:</w:t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>- формування та розгортання під час військового стану підрозділів територіальної оборони;</w:t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>- організації та підтримання у постійній готовності системи управління територіальною обороною;</w:t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>- взаємодії Слов’янської міської військової адміністрації Краматорського району Донецької області та територіальних громад, правоохоронних органів і органів військового управління під час виконання бойових завдань військовими частинами;</w:t>
      </w:r>
    </w:p>
    <w:p>
      <w:pPr>
        <w:pStyle w:val="Normal"/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 військово - патріотичного і духовно-морального виховання населення, прищеплення почуття особистої відповідальності за захист Батьківщини, міста, селища, своєї родини;</w:t>
      </w:r>
    </w:p>
    <w:p>
      <w:pPr>
        <w:pStyle w:val="NoSpacing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забезпечення ефективної відсічі збройної агресії російської федерації проти України та забезпечення національної безпеки, усунення загроз небезпеки державній незалежності України, її територіальній цілісності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26"/>
        <w:ind w:firstLine="567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>Програмою передбачені заходи, фінансування яких здійснюватиметься за рахунок бюджету Слов’янської міської територіальної громади.</w:t>
      </w:r>
    </w:p>
    <w:p>
      <w:pPr>
        <w:pStyle w:val="Normal"/>
        <w:widowControl w:val="false"/>
        <w:shd w:val="clear" w:color="auto" w:fill="FFFFFF"/>
        <w:tabs>
          <w:tab w:val="left" w:pos="360" w:leader="none"/>
        </w:tabs>
        <w:spacing w:lineRule="exact" w:line="322" w:before="5" w:after="0"/>
        <w:ind w:right="62"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Програма розроблена відділом з питань цивільного захисту, мобілізаційної та оборонної роботи Слов’янської міської ВА.</w:t>
      </w:r>
    </w:p>
    <w:p>
      <w:pPr>
        <w:pStyle w:val="Normal"/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left="720" w:hanging="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Визначення мети Програми</w:t>
      </w:r>
    </w:p>
    <w:p>
      <w:pPr>
        <w:pStyle w:val="Normal"/>
        <w:ind w:left="720" w:hanging="0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left" w:pos="-2127" w:leader="none"/>
          <w:tab w:val="left" w:pos="709" w:leader="none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4"/>
          <w:szCs w:val="24"/>
          <w:lang w:val="uk-UA"/>
        </w:rPr>
        <w:t>Метою Програми є сприяння забезпеченню готовності громадян України до національного спротиву</w:t>
      </w:r>
      <w:r>
        <w:rPr>
          <w:color w:val="000000"/>
          <w:sz w:val="24"/>
          <w:szCs w:val="24"/>
          <w:lang w:val="uk-UA"/>
        </w:rPr>
        <w:t xml:space="preserve"> та </w:t>
      </w:r>
      <w:r>
        <w:rPr>
          <w:sz w:val="24"/>
          <w:szCs w:val="24"/>
          <w:shd w:fill="FFFFFF" w:val="clear"/>
          <w:lang w:val="uk-UA"/>
        </w:rPr>
        <w:t>відсічі збройної агресії російської федерації проти України, забезпечення національної безпеки, підтримки місцевої інфраструктури, соціального захисту населення</w:t>
      </w:r>
      <w:r>
        <w:rPr>
          <w:sz w:val="24"/>
          <w:szCs w:val="24"/>
          <w:lang w:val="uk-UA"/>
        </w:rPr>
        <w:t xml:space="preserve"> на території Слов’янської міської територіальної громади, шляхом створення належних умов праці співробітникам та їх відповідне матеріально-технічне забезпечення</w:t>
      </w:r>
      <w:r>
        <w:rPr>
          <w:sz w:val="28"/>
          <w:szCs w:val="28"/>
          <w:lang w:val="uk-UA"/>
        </w:rPr>
        <w:t>.</w:t>
      </w:r>
    </w:p>
    <w:p>
      <w:pPr>
        <w:pStyle w:val="Normal"/>
        <w:ind w:firstLine="72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firstLine="72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lang w:val="uk-UA"/>
        </w:rPr>
      </w:pPr>
      <w:r>
        <w:rPr>
          <w:sz w:val="24"/>
          <w:szCs w:val="24"/>
          <w:lang w:val="uk-UA"/>
        </w:rPr>
        <w:t>4. Обґрунтування шляхів і засобів розв’язання проблеми, обсягів та джерел фінансування, строків виконання Програми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>З метою розв’язання визначених у Програмі проблем необхідно забезпечити:</w:t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>- обладнання пункту постійної дислокації для підрозділів територіальної оборони громади;</w:t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>- створення сприятливих умов для належної підготовки у мирний час особового складу підрозділів територіальної оборони до виконання завдань за призначенням шляхом виконання заходів повсякденної діяльності, постійного підтримання бойової та мобілізаційної готовності, проведення навчань та тренувань з практичного відпрацювання навичок бойової підготовки;</w:t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>- створення військового резерву людських ресурсів, призначеного для комплектування підрозділів Сил територіальної оборони Слов’янської міської територіальної громади;</w:t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>- матеріально-технічне забезпечення потреб особового складу підрозділів територіальної оборони;</w:t>
      </w:r>
    </w:p>
    <w:p>
      <w:pPr>
        <w:pStyle w:val="Normal"/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- всебічне </w:t>
      </w:r>
      <w:bookmarkStart w:id="2" w:name="_Hlk95810559"/>
      <w:r>
        <w:rPr>
          <w:sz w:val="24"/>
          <w:szCs w:val="24"/>
          <w:lang w:val="uk-UA"/>
        </w:rPr>
        <w:t>сприяння діяльності добровольчих формувань територіальної громади Слов’янської міської територіальної громади щодо організації руху опору та підготовки громадян України до національного спротиву</w:t>
      </w:r>
      <w:bookmarkEnd w:id="2"/>
      <w:r>
        <w:rPr>
          <w:sz w:val="24"/>
          <w:szCs w:val="24"/>
          <w:lang w:val="uk-UA"/>
        </w:rPr>
        <w:t>;</w:t>
      </w:r>
    </w:p>
    <w:p>
      <w:pPr>
        <w:pStyle w:val="NoSpacing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- функціонування системи </w:t>
      </w:r>
      <w:r>
        <w:rPr>
          <w:rFonts w:cs="Times New Roman" w:ascii="Times New Roman" w:hAnsi="Times New Roman"/>
          <w:sz w:val="24"/>
          <w:szCs w:val="24"/>
        </w:rPr>
        <w:t xml:space="preserve">забезпечення ефективної відсічі збройної агресії російської федерації проти України та забезпечення національної безпеки, усунення загроз небезпеки державній незалежності України, її територіальній цілісності військовими частинами Збройних Сил України 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>та їх ефективна діяльність можлива лише завдяки створенню оптимальних умов для якісного виконання службових обов’язків його співробітниками, шляхом забезпечення їх належним чином матеріально-технічними засобами.</w:t>
      </w:r>
    </w:p>
    <w:p>
      <w:pPr>
        <w:pStyle w:val="Normal"/>
        <w:ind w:hanging="142"/>
        <w:jc w:val="both"/>
        <w:rPr>
          <w:lang w:val="uk-UA"/>
        </w:rPr>
      </w:pPr>
      <w:r>
        <w:rPr>
          <w:sz w:val="28"/>
          <w:szCs w:val="28"/>
          <w:lang w:val="uk-UA"/>
        </w:rPr>
        <w:tab/>
        <w:tab/>
      </w:r>
    </w:p>
    <w:p>
      <w:pPr>
        <w:pStyle w:val="1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Програма розроблена і фінансується у межах коштів, передбачених у бюджеті Слов’янської міської територіальної громади на 2025 рік. </w:t>
      </w:r>
    </w:p>
    <w:p>
      <w:pPr>
        <w:pStyle w:val="1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Web"/>
        <w:shd w:val="clear" w:color="auto" w:fill="FFFFFF"/>
        <w:spacing w:before="0" w:after="150"/>
        <w:ind w:firstLine="567"/>
        <w:jc w:val="both"/>
        <w:rPr/>
      </w:pPr>
      <w:r>
        <w:rPr/>
        <w:t>Фінансування  Програми здійснюється  шляхом надання міжбюджетного трансферту у вигляді субвенції з місцевого бюджету державному бюджету.</w:t>
      </w:r>
    </w:p>
    <w:p>
      <w:pPr>
        <w:pStyle w:val="Normal"/>
        <w:jc w:val="center"/>
        <w:rPr>
          <w:lang w:val="uk-UA"/>
        </w:rPr>
      </w:pPr>
      <w:r>
        <w:rPr>
          <w:sz w:val="24"/>
          <w:szCs w:val="24"/>
          <w:lang w:val="uk-UA"/>
        </w:rPr>
        <w:t>5. Перелік завдань і заходів Програми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>В умовах збройної агресії з боку рф проти України, повномасштабного вторгнення та застосування диверсійно-розвідувальних сил або здійснення актів тероризму, важливого значення набуває виконання заходів з організації військової служби, виконання військового обов’язку, мобілізаційної підготовки і територіальної оборони у Слов’янській міській територіальній громаді. Зокрема на це і спрямовані заходи Програми.</w:t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>Основними завданнями і заходами Програми є:</w:t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>- координація зусиль місцевих органів виконавчої влади і органів місцевого самоврядування, органів військового управління в забезпеченні ефективної реалізації державної політики у сфері обороноздатності держави в частині організації територіальної оборони міста;</w:t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 xml:space="preserve">- комплексне вивчення і розв’язання проблем, пов’язаних із здійсненням заходів територіальної оборони; </w:t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>- матеріально-технічне забезпечення заходів національного спротиву місцевого значення;</w:t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 xml:space="preserve">- сприяння діяльності добровольчих формувань Слов’янської міської територіальної громади  щодо організації </w:t>
      </w:r>
      <w:r>
        <w:rPr>
          <w:color w:val="000000"/>
          <w:sz w:val="24"/>
          <w:szCs w:val="24"/>
          <w:lang w:val="uk-UA"/>
        </w:rPr>
        <w:t>руху опору та підготовки громадян України до національного спротиву;</w:t>
      </w:r>
    </w:p>
    <w:p>
      <w:pPr>
        <w:pStyle w:val="Normal"/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 військово-патріотичне виховання населення, прищеплення почуття особистої відповідальності за захист Батьківщини;</w:t>
      </w:r>
    </w:p>
    <w:p>
      <w:pPr>
        <w:pStyle w:val="Normal"/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 створення належних умов для функціонування військових частин Збройних Сил України, а саме: забезпечення належної боєздатності  військових частин.</w:t>
      </w:r>
    </w:p>
    <w:p>
      <w:pPr>
        <w:pStyle w:val="Normal"/>
        <w:ind w:firstLine="567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ind w:firstLine="720"/>
        <w:jc w:val="both"/>
        <w:rPr>
          <w:lang w:val="ru-RU"/>
        </w:rPr>
      </w:pPr>
      <w:r>
        <w:rPr>
          <w:sz w:val="24"/>
          <w:szCs w:val="24"/>
          <w:lang w:val="uk-UA"/>
        </w:rPr>
        <w:t>Завдання та заходи Програми наведені у додатку, що додається.</w:t>
      </w:r>
    </w:p>
    <w:p>
      <w:pPr>
        <w:pStyle w:val="Normal"/>
        <w:jc w:val="both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</w:r>
    </w:p>
    <w:p>
      <w:pPr>
        <w:pStyle w:val="Normal"/>
        <w:jc w:val="center"/>
        <w:rPr>
          <w:lang w:val="ru-RU"/>
        </w:rPr>
      </w:pPr>
      <w:r>
        <w:rPr>
          <w:sz w:val="24"/>
          <w:szCs w:val="24"/>
          <w:lang w:val="uk-UA"/>
        </w:rPr>
        <w:t>6. Очікувані результати виконання Програми та її ефективність</w:t>
      </w:r>
    </w:p>
    <w:p>
      <w:pPr>
        <w:pStyle w:val="Normal"/>
        <w:jc w:val="center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</w:r>
    </w:p>
    <w:p>
      <w:pPr>
        <w:pStyle w:val="Normal"/>
        <w:ind w:firstLine="567"/>
        <w:jc w:val="both"/>
        <w:rPr>
          <w:lang w:val="uk-UA"/>
        </w:rPr>
      </w:pPr>
      <w:r>
        <w:rPr>
          <w:sz w:val="24"/>
          <w:szCs w:val="24"/>
          <w:lang w:val="uk-UA"/>
        </w:rPr>
        <w:t>Виконання Програми сприятиме:</w:t>
      </w:r>
    </w:p>
    <w:p>
      <w:pPr>
        <w:pStyle w:val="Normal"/>
        <w:ind w:firstLine="567"/>
        <w:jc w:val="both"/>
        <w:rPr>
          <w:lang w:val="uk-UA"/>
        </w:rPr>
      </w:pPr>
      <w:r>
        <w:rPr>
          <w:sz w:val="24"/>
          <w:szCs w:val="24"/>
          <w:lang w:val="uk-UA"/>
        </w:rPr>
        <w:t>- активізації діяльності військової адміністрації, пов’язаної з організацією територіальної оборони, удосконаленню механізму координації роботи;</w:t>
      </w:r>
    </w:p>
    <w:p>
      <w:pPr>
        <w:pStyle w:val="Normal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>- сприянню діяльності підрозділів територіальної оборони;</w:t>
      </w:r>
    </w:p>
    <w:p>
      <w:pPr>
        <w:pStyle w:val="Normal"/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 сприянню діяльності добровольчих формувань Слов’янської міської територіальної громади щодо організації руху опору та підготовки громадян України до національного спротиву;</w:t>
      </w:r>
    </w:p>
    <w:p>
      <w:pPr>
        <w:pStyle w:val="Rtejustify"/>
        <w:shd w:val="clear" w:color="auto" w:fill="FFFFFF"/>
        <w:spacing w:beforeAutospacing="0" w:before="0" w:afterAutospacing="0" w:after="0"/>
        <w:ind w:firstLine="567"/>
        <w:jc w:val="both"/>
        <w:rPr/>
      </w:pPr>
      <w:r>
        <w:rPr/>
        <w:t>- піднесенню престижу військової служби;</w:t>
      </w:r>
    </w:p>
    <w:p>
      <w:pPr>
        <w:pStyle w:val="Rtejustify"/>
        <w:shd w:val="clear" w:color="auto" w:fill="FFFFFF"/>
        <w:spacing w:beforeAutospacing="0" w:before="0" w:afterAutospacing="0" w:after="0"/>
        <w:ind w:firstLine="567"/>
        <w:jc w:val="both"/>
        <w:rPr/>
      </w:pPr>
      <w:r>
        <w:rPr/>
        <w:t>- сприянню обороноздатності та мобілізаційній готовності держави;</w:t>
      </w:r>
    </w:p>
    <w:p>
      <w:pPr>
        <w:pStyle w:val="Rtejustify"/>
        <w:shd w:val="clear" w:color="auto" w:fill="FFFFFF"/>
        <w:spacing w:beforeAutospacing="0" w:before="0" w:afterAutospacing="0" w:after="0"/>
        <w:ind w:firstLine="567"/>
        <w:jc w:val="both"/>
        <w:rPr/>
      </w:pPr>
      <w:r>
        <w:rPr/>
        <w:t>- задовольнить культурні і духовні потреби військовослужбовців;</w:t>
      </w:r>
    </w:p>
    <w:p>
      <w:pPr>
        <w:pStyle w:val="Rtejustify"/>
        <w:shd w:val="clear" w:color="auto" w:fill="FFFFFF"/>
        <w:spacing w:beforeAutospacing="0" w:before="0" w:afterAutospacing="0" w:after="0"/>
        <w:ind w:firstLine="567"/>
        <w:jc w:val="both"/>
        <w:rPr/>
      </w:pPr>
      <w:r>
        <w:rPr/>
        <w:t>- забезпечить готовність військових частин до виконання завдань за призначенням;</w:t>
      </w:r>
    </w:p>
    <w:p>
      <w:pPr>
        <w:pStyle w:val="Normal"/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  <w:lang w:val="uk-UA"/>
        </w:rPr>
        <w:t>підвищить ефективність цивільно – військового співробітництва.</w:t>
      </w:r>
    </w:p>
    <w:p>
      <w:pPr>
        <w:pStyle w:val="Normal"/>
        <w:widowControl w:val="false"/>
        <w:suppressAutoHyphens w:val="false"/>
        <w:spacing w:before="3" w:after="0"/>
        <w:jc w:val="both"/>
        <w:rPr>
          <w:color w:val="FF0000"/>
          <w:sz w:val="24"/>
          <w:szCs w:val="24"/>
          <w:lang w:val="uk-UA" w:eastAsia="en-US"/>
        </w:rPr>
      </w:pPr>
      <w:r>
        <w:rPr>
          <w:color w:val="FF0000"/>
          <w:sz w:val="24"/>
          <w:szCs w:val="24"/>
          <w:lang w:val="uk-UA" w:eastAsia="en-US"/>
        </w:rPr>
      </w:r>
    </w:p>
    <w:p>
      <w:pPr>
        <w:pStyle w:val="Normal"/>
        <w:jc w:val="center"/>
        <w:rPr>
          <w:lang w:val="ru-RU"/>
        </w:rPr>
      </w:pPr>
      <w:r>
        <w:rPr>
          <w:sz w:val="24"/>
          <w:szCs w:val="24"/>
          <w:lang w:val="uk-UA"/>
        </w:rPr>
        <w:t>7. Координація та контроль за ходом виконання Програми</w:t>
      </w:r>
    </w:p>
    <w:p>
      <w:pPr>
        <w:pStyle w:val="Normal"/>
        <w:ind w:left="720" w:hanging="0"/>
        <w:rPr>
          <w:color w:val="FF0000"/>
          <w:sz w:val="24"/>
          <w:szCs w:val="24"/>
          <w:lang w:val="ru-RU"/>
        </w:rPr>
      </w:pPr>
      <w:r>
        <w:rPr>
          <w:color w:val="FF0000"/>
          <w:sz w:val="24"/>
          <w:szCs w:val="24"/>
          <w:lang w:val="ru-RU"/>
        </w:rPr>
      </w:r>
    </w:p>
    <w:p>
      <w:pPr>
        <w:pStyle w:val="Normal"/>
        <w:tabs>
          <w:tab w:val="left" w:pos="1843" w:leader="none"/>
        </w:tabs>
        <w:suppressAutoHyphens w:val="false"/>
        <w:ind w:firstLine="567"/>
        <w:jc w:val="both"/>
        <w:rPr>
          <w:lang w:val="ru-RU"/>
        </w:rPr>
      </w:pPr>
      <w:r>
        <w:rPr>
          <w:sz w:val="24"/>
          <w:szCs w:val="24"/>
          <w:lang w:val="uk-UA"/>
        </w:rPr>
        <w:t>Координацію за реалізацією заходів, передбачених Програмою, здійснює заступник начальника Слов’янської міської військової адміністрації Краматорського району Донецької області згідно з розподілом функціональних обов’язків.</w:t>
      </w:r>
    </w:p>
    <w:p>
      <w:pPr>
        <w:pStyle w:val="16"/>
        <w:ind w:firstLine="567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Загальне керівництво та контроль за ходом реалізації Програми здійснює відділ з питань цивільного захисту, мобілізаційної та оборонної роботи Слов’янської міської ВА.</w:t>
      </w:r>
    </w:p>
    <w:p>
      <w:pPr>
        <w:pStyle w:val="16"/>
        <w:ind w:firstLine="708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Контроль за використанням бюджетних коштів, направлених на забезпечення виконання Програми, здійснюється в порядку, встановленому бюджетним законодавством.</w:t>
      </w:r>
    </w:p>
    <w:p>
      <w:pPr>
        <w:pStyle w:val="16"/>
        <w:ind w:firstLine="708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Відділ з питань цивільного захисту, мобілізаційної та оборонної роботи Слов’янської міської ВА надає начальнику Слов’янської міської військової адміністрації Краматорського району Донецької області у встановленому порядку звіти про хід виконання Програми.</w:t>
      </w:r>
    </w:p>
    <w:p>
      <w:pPr>
        <w:pStyle w:val="16"/>
        <w:ind w:firstLine="708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>Відділ з питань цивільного захисту, мобілізаційної та оборонної роботи Слов’янської міської ВА забезпечує методичний супровід розробки і реалізації відповідних місцевих програм.</w:t>
      </w:r>
    </w:p>
    <w:p>
      <w:pPr>
        <w:pStyle w:val="16"/>
        <w:ind w:firstLine="708"/>
        <w:jc w:val="both"/>
        <w:rPr/>
      </w:pPr>
      <w:r>
        <w:rPr/>
      </w:r>
    </w:p>
    <w:p>
      <w:pPr>
        <w:pStyle w:val="16"/>
        <w:ind w:firstLine="708"/>
        <w:jc w:val="both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Військові частини ЗСУ -  забезпечують цільове, ефективне використання коштів та надають фінансовому управлінню Слов’янської міської військової адміністрації фінансову звітність у встановлені терміни.</w:t>
      </w:r>
    </w:p>
    <w:p>
      <w:pPr>
        <w:pStyle w:val="16"/>
        <w:ind w:firstLine="708"/>
        <w:jc w:val="both"/>
        <w:rPr/>
      </w:pPr>
      <w:r>
        <w:rPr/>
      </w:r>
    </w:p>
    <w:p>
      <w:pPr>
        <w:pStyle w:val="16"/>
        <w:ind w:firstLine="708"/>
        <w:jc w:val="both"/>
        <w:rPr/>
      </w:pPr>
      <w:r>
        <w:rPr/>
      </w:r>
    </w:p>
    <w:p>
      <w:pPr>
        <w:pStyle w:val="FR2"/>
        <w:ind w:left="0" w:hanging="0"/>
        <w:jc w:val="both"/>
        <w:rPr/>
      </w:pPr>
      <w:r>
        <w:rPr>
          <w:spacing w:val="-5"/>
          <w:sz w:val="24"/>
          <w:szCs w:val="24"/>
        </w:rPr>
        <w:t xml:space="preserve">В.о. начальника відділу з питань цивільного </w:t>
      </w:r>
    </w:p>
    <w:p>
      <w:pPr>
        <w:pStyle w:val="FR2"/>
        <w:ind w:left="0" w:hanging="0"/>
        <w:jc w:val="both"/>
        <w:rPr/>
      </w:pPr>
      <w:r>
        <w:rPr>
          <w:spacing w:val="-5"/>
          <w:sz w:val="24"/>
          <w:szCs w:val="24"/>
        </w:rPr>
        <w:t>захисту, мобілізаційної та оборонної роботи</w:t>
      </w:r>
    </w:p>
    <w:p>
      <w:pPr>
        <w:pStyle w:val="FR2"/>
        <w:ind w:left="0" w:hanging="0"/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Слов’янської міської ВА                                                                                                    Валерій НОВАК</w:t>
      </w:r>
    </w:p>
    <w:p>
      <w:pPr>
        <w:sectPr>
          <w:headerReference w:type="default" r:id="rId2"/>
          <w:type w:val="nextPage"/>
          <w:pgSz w:w="11906" w:h="16838"/>
          <w:pgMar w:left="1701" w:right="567" w:header="709" w:top="1134" w:footer="0" w:bottom="1134" w:gutter="0"/>
          <w:pgNumType w:start="1" w:fmt="decimal"/>
          <w:formProt w:val="false"/>
          <w:titlePg/>
          <w:textDirection w:val="lrTb"/>
          <w:docGrid w:type="default" w:linePitch="360" w:charSpace="2047"/>
        </w:sectPr>
        <w:pStyle w:val="FR2"/>
        <w:tabs>
          <w:tab w:val="left" w:pos="284" w:leader="none"/>
        </w:tabs>
        <w:ind w:left="0" w:hanging="0"/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</w:r>
    </w:p>
    <w:p>
      <w:pPr>
        <w:pStyle w:val="Normal"/>
        <w:ind w:left="7920" w:firstLine="720"/>
        <w:jc w:val="both"/>
        <w:rPr>
          <w:lang w:val="ru-RU"/>
        </w:rPr>
      </w:pPr>
      <w:r>
        <w:rPr>
          <w:sz w:val="24"/>
          <w:szCs w:val="24"/>
          <w:lang w:val="uk-UA"/>
        </w:rPr>
        <w:t>Додаток до Програми</w:t>
      </w:r>
    </w:p>
    <w:p>
      <w:pPr>
        <w:pStyle w:val="Normal"/>
        <w:ind w:left="200" w:firstLine="8647"/>
        <w:rPr>
          <w:lang w:val="ru-RU"/>
        </w:rPr>
      </w:pPr>
      <w:r>
        <w:rPr>
          <w:sz w:val="24"/>
          <w:szCs w:val="24"/>
          <w:lang w:val="uk-UA"/>
        </w:rPr>
        <w:t xml:space="preserve">(Розділ 5)   </w:t>
      </w:r>
    </w:p>
    <w:p>
      <w:pPr>
        <w:pStyle w:val="Normal"/>
        <w:ind w:left="7920" w:firstLine="72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bookmarkStart w:id="3" w:name="BM254"/>
      <w:bookmarkEnd w:id="3"/>
      <w:r>
        <w:rPr>
          <w:sz w:val="24"/>
          <w:szCs w:val="24"/>
          <w:lang w:val="uk-UA"/>
        </w:rPr>
        <w:t>Перелік завдань і заходів</w:t>
      </w:r>
    </w:p>
    <w:p>
      <w:pPr>
        <w:pStyle w:val="Normal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jc w:val="center"/>
        <w:rPr>
          <w:lang w:val="ru-RU"/>
        </w:rPr>
      </w:pPr>
      <w:r>
        <w:rPr>
          <w:sz w:val="24"/>
          <w:szCs w:val="24"/>
          <w:lang w:val="uk-UA"/>
        </w:rPr>
        <w:t>ПРОГРАМИ</w:t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сприяння розвитку та надання фінансової допомоги військовим частинам Збройних Сил України</w:t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2025 рік</w:t>
      </w:r>
    </w:p>
    <w:p>
      <w:pPr>
        <w:pStyle w:val="Normal"/>
        <w:jc w:val="center"/>
        <w:rPr>
          <w:lang w:val="ru-RU"/>
        </w:rPr>
      </w:pPr>
      <w:r>
        <w:rPr>
          <w:lang w:val="ru-RU"/>
        </w:rPr>
      </w:r>
    </w:p>
    <w:tbl>
      <w:tblPr>
        <w:tblW w:w="14900" w:type="dxa"/>
        <w:jc w:val="left"/>
        <w:tblInd w:w="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452"/>
        <w:gridCol w:w="543"/>
        <w:gridCol w:w="2142"/>
        <w:gridCol w:w="851"/>
        <w:gridCol w:w="1842"/>
        <w:gridCol w:w="1134"/>
        <w:gridCol w:w="850"/>
        <w:gridCol w:w="850"/>
        <w:gridCol w:w="1134"/>
        <w:gridCol w:w="850"/>
        <w:gridCol w:w="850"/>
        <w:gridCol w:w="1"/>
        <w:gridCol w:w="1365"/>
        <w:gridCol w:w="1035"/>
      </w:tblGrid>
      <w:tr>
        <w:trPr>
          <w:tblHeader w:val="true"/>
          <w:trHeight w:val="300" w:hRule="atLeast"/>
        </w:trPr>
        <w:tc>
          <w:tcPr>
            <w:tcW w:w="145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ru-RU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4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14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85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</w:t>
              <w:br/>
              <w:t>ня</w:t>
            </w:r>
          </w:p>
        </w:tc>
        <w:tc>
          <w:tcPr>
            <w:tcW w:w="184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669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ru-RU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blHeader w:val="true"/>
          <w:trHeight w:val="300" w:hRule="atLeast"/>
        </w:trPr>
        <w:tc>
          <w:tcPr>
            <w:tcW w:w="145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4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14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1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restart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53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ru-RU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400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blHeader w:val="true"/>
          <w:trHeight w:val="300" w:hRule="atLeast"/>
        </w:trPr>
        <w:tc>
          <w:tcPr>
            <w:tcW w:w="145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4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14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1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restart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19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850" w:type="dxa"/>
            <w:vMerge w:val="restart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850" w:type="dxa"/>
            <w:vMerge w:val="restart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366" w:type="dxa"/>
            <w:gridSpan w:val="2"/>
            <w:vMerge w:val="restart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1035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blHeader w:val="true"/>
          <w:trHeight w:val="890" w:hRule="atLeast"/>
        </w:trPr>
        <w:tc>
          <w:tcPr>
            <w:tcW w:w="145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4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14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1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4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850" w:type="dxa"/>
            <w:vMerge w:val="continue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366" w:type="dxa"/>
            <w:gridSpan w:val="2"/>
            <w:vMerge w:val="continue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35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285" w:hRule="atLeast"/>
        </w:trPr>
        <w:tc>
          <w:tcPr>
            <w:tcW w:w="1452" w:type="dxa"/>
            <w:tcBorders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>
                <w:lang w:val="uk-UA"/>
              </w:rPr>
              <w:t>Забезпечення заходів національного спротиву</w:t>
            </w:r>
          </w:p>
        </w:tc>
        <w:tc>
          <w:tcPr>
            <w:tcW w:w="54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</w:t>
            </w:r>
          </w:p>
        </w:tc>
        <w:tc>
          <w:tcPr>
            <w:tcW w:w="214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інформація),</w:t>
            </w:r>
            <w:r>
              <w:rPr>
                <w:lang w:val="uk-UA"/>
              </w:rPr>
              <w:br/>
              <w:t xml:space="preserve">Слов'янська міська військова адміністрація Краматорського району Донецької області,   </w:t>
              <w:br/>
              <w:t>відділ з питань цивільного захисту, мобілізаційної та оборонної роботи</w:t>
            </w:r>
          </w:p>
          <w:p>
            <w:pPr>
              <w:pStyle w:val="Normal"/>
              <w:jc w:val="center"/>
              <w:rPr>
                <w:rFonts w:eastAsia="Batang"/>
                <w:lang w:val="uk-UA" w:eastAsia="ko-KR"/>
              </w:rPr>
            </w:pPr>
            <w:r>
              <w:rPr>
                <w:rFonts w:eastAsia="Batang"/>
                <w:lang w:val="uk-UA" w:eastAsia="ko-KR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 w:eastAsia="uk-UA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 w:eastAsia="uk-UA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color w:val="FF0000"/>
                <w:sz w:val="24"/>
                <w:szCs w:val="24"/>
                <w:lang w:val="uk-UA" w:eastAsia="uk-UA"/>
              </w:rPr>
            </w:pPr>
            <w:r>
              <w:rPr>
                <w:color w:val="FF0000"/>
                <w:sz w:val="24"/>
                <w:szCs w:val="24"/>
                <w:lang w:val="uk-UA" w:eastAsia="uk-UA"/>
              </w:rPr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color w:val="FF0000"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color w:val="FF0000"/>
                <w:sz w:val="16"/>
                <w:szCs w:val="16"/>
                <w:lang w:val="uk-UA" w:eastAsia="uk-UA"/>
              </w:rPr>
            </w:r>
          </w:p>
        </w:tc>
        <w:tc>
          <w:tcPr>
            <w:tcW w:w="13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-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-</w:t>
            </w:r>
          </w:p>
        </w:tc>
      </w:tr>
      <w:tr>
        <w:trPr>
          <w:trHeight w:val="285" w:hRule="atLeast"/>
        </w:trPr>
        <w:tc>
          <w:tcPr>
            <w:tcW w:w="1452" w:type="dxa"/>
            <w:tcBorders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>
                <w:lang w:val="uk-UA"/>
              </w:rPr>
              <w:t>Забезпечення заходів національного спротиву</w:t>
            </w:r>
          </w:p>
        </w:tc>
        <w:tc>
          <w:tcPr>
            <w:tcW w:w="54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</w:t>
            </w:r>
          </w:p>
        </w:tc>
        <w:tc>
          <w:tcPr>
            <w:tcW w:w="214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lang w:val="uk-UA"/>
              </w:rPr>
            </w:pPr>
            <w:r>
              <w:rPr>
                <w:lang w:val="uk-UA"/>
              </w:rPr>
              <w:t>Придбання системи виявлення дронів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bookmarkStart w:id="4" w:name="__DdeLink__630_828824091"/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  <w:bookmarkEnd w:id="4"/>
            <w:r>
              <w:rPr>
                <w:lang w:val="uk-UA"/>
              </w:rPr>
              <w:t xml:space="preserve">, </w:t>
              <w:br/>
              <w:t xml:space="preserve">Слов'янська міська військова адміністрація Краматорського району Донецької області,   </w:t>
              <w:br/>
              <w:t>відділ з питань цивільного захисту, мобілізаційної та оборонної роботи</w:t>
            </w:r>
          </w:p>
          <w:p>
            <w:pPr>
              <w:pStyle w:val="Normal"/>
              <w:jc w:val="center"/>
              <w:rPr>
                <w:rFonts w:eastAsia="Batang"/>
                <w:lang w:val="uk-UA" w:eastAsia="ko-KR"/>
              </w:rPr>
            </w:pPr>
            <w:r>
              <w:rPr>
                <w:rFonts w:eastAsia="Batang"/>
                <w:lang w:val="uk-UA" w:eastAsia="ko-KR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 w:eastAsia="uk-UA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 w:eastAsia="uk-UA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color w:val="FF0000"/>
                <w:sz w:val="24"/>
                <w:szCs w:val="24"/>
                <w:lang w:val="uk-UA" w:eastAsia="uk-UA"/>
              </w:rPr>
            </w:pPr>
            <w:r>
              <w:rPr>
                <w:color w:val="FF0000"/>
                <w:sz w:val="24"/>
                <w:szCs w:val="24"/>
                <w:lang w:val="uk-UA" w:eastAsia="uk-UA"/>
              </w:rPr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color w:val="FF0000"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color w:val="FF0000"/>
                <w:sz w:val="16"/>
                <w:szCs w:val="16"/>
                <w:lang w:val="uk-UA" w:eastAsia="uk-UA"/>
              </w:rPr>
            </w:r>
          </w:p>
        </w:tc>
        <w:tc>
          <w:tcPr>
            <w:tcW w:w="13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-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-</w:t>
            </w:r>
          </w:p>
        </w:tc>
      </w:tr>
      <w:tr>
        <w:trPr>
          <w:trHeight w:val="285" w:hRule="atLeast"/>
        </w:trPr>
        <w:tc>
          <w:tcPr>
            <w:tcW w:w="1452" w:type="dxa"/>
            <w:tcBorders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Забезпечення заходів національного спротиву</w:t>
            </w:r>
          </w:p>
        </w:tc>
        <w:tc>
          <w:tcPr>
            <w:tcW w:w="54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3</w:t>
            </w:r>
          </w:p>
        </w:tc>
        <w:tc>
          <w:tcPr>
            <w:tcW w:w="214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i/>
                <w:iCs/>
                <w:color w:val="202124"/>
                <w:sz w:val="20"/>
                <w:szCs w:val="20"/>
                <w:lang w:val="uk-UA" w:eastAsia="uk-UA"/>
              </w:rPr>
              <w:t>(конфіденційна інформація)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>,</w:t>
              <w:br/>
              <w:t xml:space="preserve">Слов'янська міська військова адміністрація Краматорського району Донецької області,   </w:t>
              <w:br/>
              <w:t>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3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/>
              <w:t>-</w:t>
            </w:r>
          </w:p>
        </w:tc>
      </w:tr>
      <w:tr>
        <w:trPr>
          <w:trHeight w:val="285" w:hRule="atLeast"/>
        </w:trPr>
        <w:tc>
          <w:tcPr>
            <w:tcW w:w="1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/>
            </w:pPr>
            <w:r>
              <w:rPr>
                <w:lang w:val="uk-UA" w:eastAsia="uk-UA"/>
              </w:rPr>
              <w:t>Усього: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2025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b/>
                <w:bCs/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/>
                <w:bCs/>
                <w:sz w:val="18"/>
                <w:szCs w:val="18"/>
                <w:lang w:val="uk-UA" w:eastAsia="uk-UA"/>
              </w:rPr>
            </w:pPr>
            <w:r>
              <w:rPr>
                <w:b/>
                <w:bCs/>
                <w:sz w:val="18"/>
                <w:szCs w:val="18"/>
                <w:lang w:val="uk-UA" w:eastAsia="uk-UA"/>
              </w:rPr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/>
                <w:bCs/>
                <w:sz w:val="18"/>
                <w:szCs w:val="18"/>
                <w:lang w:val="uk-UA" w:eastAsia="uk-UA"/>
              </w:rPr>
            </w:pPr>
            <w:r>
              <w:rPr>
                <w:b/>
                <w:bCs/>
                <w:sz w:val="18"/>
                <w:szCs w:val="18"/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b/>
                <w:bCs/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3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0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</w:tbl>
    <w:p>
      <w:pPr>
        <w:pStyle w:val="FR2"/>
        <w:tabs>
          <w:tab w:val="left" w:pos="284" w:leader="none"/>
        </w:tabs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FR2"/>
        <w:tabs>
          <w:tab w:val="left" w:pos="284" w:leader="none"/>
        </w:tabs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FR2"/>
        <w:tabs>
          <w:tab w:val="left" w:pos="284" w:leader="none"/>
        </w:tabs>
        <w:ind w:left="0" w:hanging="0"/>
        <w:jc w:val="both"/>
        <w:rPr/>
      </w:pPr>
      <w:r>
        <w:rPr/>
      </w:r>
    </w:p>
    <w:sectPr>
      <w:headerReference w:type="default" r:id="rId3"/>
      <w:type w:val="nextPage"/>
      <w:pgSz w:orient="landscape" w:w="16838" w:h="11906"/>
      <w:pgMar w:left="1134" w:right="1134" w:header="709" w:top="1701" w:footer="0" w:bottom="1134" w:gutter="0"/>
      <w:pgNumType w:start="6"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9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6</w:t>
    </w:r>
    <w:r>
      <w:fldChar w:fldCharType="end"/>
    </w:r>
  </w:p>
  <w:p>
    <w:pPr>
      <w:pStyle w:val="Style29"/>
      <w:tabs>
        <w:tab w:val="center" w:pos="7285" w:leader="none"/>
        <w:tab w:val="right" w:pos="14570" w:leader="none"/>
      </w:tabs>
      <w:jc w:val="cent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9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7</w:t>
    </w:r>
    <w:r>
      <w:fldChar w:fldCharType="end"/>
    </w:r>
  </w:p>
  <w:p>
    <w:pPr>
      <w:pStyle w:val="Style29"/>
      <w:tabs>
        <w:tab w:val="center" w:pos="7285" w:leader="none"/>
        <w:tab w:val="right" w:pos="14570" w:leader="none"/>
      </w:tabs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semiHidden="0" w:unhideWhenUsed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04af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link w:val="10"/>
    <w:uiPriority w:val="99"/>
    <w:qFormat/>
    <w:rsid w:val="006d04af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Normal"/>
    <w:link w:val="20"/>
    <w:uiPriority w:val="99"/>
    <w:qFormat/>
    <w:rsid w:val="006d04af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Normal"/>
    <w:link w:val="31"/>
    <w:uiPriority w:val="99"/>
    <w:qFormat/>
    <w:rsid w:val="006d04af"/>
    <w:pPr>
      <w:keepNext/>
      <w:numPr>
        <w:ilvl w:val="2"/>
        <w:numId w:val="1"/>
      </w:numPr>
      <w:spacing w:before="240" w:after="60"/>
      <w:outlineLvl w:val="2"/>
      <w:outlineLvl w:val="2"/>
    </w:pPr>
    <w:rPr>
      <w:rFonts w:ascii="Cambria" w:hAnsi="Cambria" w:cs="Cambria"/>
      <w:b/>
      <w:bCs/>
      <w:sz w:val="26"/>
      <w:szCs w:val="26"/>
    </w:rPr>
  </w:style>
  <w:style w:type="paragraph" w:styleId="7">
    <w:name w:val="Heading 7"/>
    <w:basedOn w:val="Normal"/>
    <w:link w:val="71"/>
    <w:uiPriority w:val="99"/>
    <w:qFormat/>
    <w:rsid w:val="006d04af"/>
    <w:pPr>
      <w:spacing w:before="240" w:after="60"/>
      <w:outlineLvl w:val="6"/>
    </w:pPr>
    <w:rPr>
      <w:rFonts w:ascii="Calibri" w:hAnsi="Calibri" w:cs="Calibri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uiPriority w:val="99"/>
    <w:qFormat/>
    <w:locked/>
    <w:rsid w:val="00a61ce0"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21" w:customStyle="1">
    <w:name w:val="Заголовок 2 Знак"/>
    <w:link w:val="2"/>
    <w:uiPriority w:val="99"/>
    <w:semiHidden/>
    <w:qFormat/>
    <w:locked/>
    <w:rsid w:val="00a61ce0"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31" w:customStyle="1">
    <w:name w:val="Заголовок 3 Знак1"/>
    <w:link w:val="3"/>
    <w:uiPriority w:val="99"/>
    <w:semiHidden/>
    <w:qFormat/>
    <w:locked/>
    <w:rsid w:val="00a61ce0"/>
    <w:rPr>
      <w:rFonts w:ascii="Cambria" w:hAnsi="Cambria" w:cs="Cambria"/>
      <w:b/>
      <w:bCs/>
      <w:sz w:val="26"/>
      <w:szCs w:val="26"/>
      <w:lang w:val="en-US" w:eastAsia="zh-CN"/>
    </w:rPr>
  </w:style>
  <w:style w:type="character" w:styleId="71" w:customStyle="1">
    <w:name w:val="Заголовок 7 Знак1"/>
    <w:link w:val="7"/>
    <w:uiPriority w:val="99"/>
    <w:semiHidden/>
    <w:qFormat/>
    <w:locked/>
    <w:rsid w:val="00a61ce0"/>
    <w:rPr>
      <w:rFonts w:ascii="Calibri" w:hAnsi="Calibri" w:cs="Calibri"/>
      <w:sz w:val="24"/>
      <w:szCs w:val="24"/>
      <w:lang w:val="en-US" w:eastAsia="zh-CN"/>
    </w:rPr>
  </w:style>
  <w:style w:type="character" w:styleId="WW8Num1z0" w:customStyle="1">
    <w:name w:val="WW8Num1z0"/>
    <w:uiPriority w:val="99"/>
    <w:qFormat/>
    <w:rsid w:val="006d04af"/>
    <w:rPr/>
  </w:style>
  <w:style w:type="character" w:styleId="WW8Num1z1" w:customStyle="1">
    <w:name w:val="WW8Num1z1"/>
    <w:uiPriority w:val="99"/>
    <w:qFormat/>
    <w:rsid w:val="006d04af"/>
    <w:rPr/>
  </w:style>
  <w:style w:type="character" w:styleId="WW8Num1z2" w:customStyle="1">
    <w:name w:val="WW8Num1z2"/>
    <w:uiPriority w:val="99"/>
    <w:qFormat/>
    <w:rsid w:val="006d04af"/>
    <w:rPr/>
  </w:style>
  <w:style w:type="character" w:styleId="WW8Num1z3" w:customStyle="1">
    <w:name w:val="WW8Num1z3"/>
    <w:uiPriority w:val="99"/>
    <w:qFormat/>
    <w:rsid w:val="006d04af"/>
    <w:rPr/>
  </w:style>
  <w:style w:type="character" w:styleId="WW8Num1z4" w:customStyle="1">
    <w:name w:val="WW8Num1z4"/>
    <w:uiPriority w:val="99"/>
    <w:qFormat/>
    <w:rsid w:val="006d04af"/>
    <w:rPr/>
  </w:style>
  <w:style w:type="character" w:styleId="WW8Num1z5" w:customStyle="1">
    <w:name w:val="WW8Num1z5"/>
    <w:uiPriority w:val="99"/>
    <w:qFormat/>
    <w:rsid w:val="006d04af"/>
    <w:rPr/>
  </w:style>
  <w:style w:type="character" w:styleId="WW8Num1z6" w:customStyle="1">
    <w:name w:val="WW8Num1z6"/>
    <w:uiPriority w:val="99"/>
    <w:qFormat/>
    <w:rsid w:val="006d04af"/>
    <w:rPr/>
  </w:style>
  <w:style w:type="character" w:styleId="WW8Num1z7" w:customStyle="1">
    <w:name w:val="WW8Num1z7"/>
    <w:uiPriority w:val="99"/>
    <w:qFormat/>
    <w:rsid w:val="006d04af"/>
    <w:rPr/>
  </w:style>
  <w:style w:type="character" w:styleId="WW8Num1z8" w:customStyle="1">
    <w:name w:val="WW8Num1z8"/>
    <w:uiPriority w:val="99"/>
    <w:qFormat/>
    <w:rsid w:val="006d04af"/>
    <w:rPr/>
  </w:style>
  <w:style w:type="character" w:styleId="WW8Num2z0" w:customStyle="1">
    <w:name w:val="WW8Num2z0"/>
    <w:uiPriority w:val="99"/>
    <w:qFormat/>
    <w:rsid w:val="006d04af"/>
    <w:rPr/>
  </w:style>
  <w:style w:type="character" w:styleId="WW8Num3z0" w:customStyle="1">
    <w:name w:val="WW8Num3z0"/>
    <w:uiPriority w:val="99"/>
    <w:qFormat/>
    <w:rsid w:val="006d04af"/>
    <w:rPr>
      <w:b/>
      <w:bCs/>
      <w:w w:val="100"/>
      <w:lang w:val="uk-UA"/>
    </w:rPr>
  </w:style>
  <w:style w:type="character" w:styleId="WW8Num3z1" w:customStyle="1">
    <w:name w:val="WW8Num3z1"/>
    <w:uiPriority w:val="99"/>
    <w:qFormat/>
    <w:rsid w:val="006d04af"/>
    <w:rPr>
      <w:lang w:val="uk-UA"/>
    </w:rPr>
  </w:style>
  <w:style w:type="character" w:styleId="WW8Num4z0" w:customStyle="1">
    <w:name w:val="WW8Num4z0"/>
    <w:uiPriority w:val="99"/>
    <w:qFormat/>
    <w:rsid w:val="006d04af"/>
    <w:rPr>
      <w:lang w:val="uk-UA"/>
    </w:rPr>
  </w:style>
  <w:style w:type="character" w:styleId="WW8Num4z1" w:customStyle="1">
    <w:name w:val="WW8Num4z1"/>
    <w:uiPriority w:val="99"/>
    <w:qFormat/>
    <w:rsid w:val="006d04af"/>
    <w:rPr>
      <w:rFonts w:ascii="Times New Roman" w:hAnsi="Times New Roman" w:cs="Times New Roman"/>
      <w:b/>
      <w:bCs/>
      <w:w w:val="100"/>
      <w:sz w:val="24"/>
      <w:szCs w:val="24"/>
      <w:lang w:val="uk-UA"/>
    </w:rPr>
  </w:style>
  <w:style w:type="character" w:styleId="WW8Num5z0" w:customStyle="1">
    <w:name w:val="WW8Num5z0"/>
    <w:uiPriority w:val="99"/>
    <w:qFormat/>
    <w:rsid w:val="006d04af"/>
    <w:rPr/>
  </w:style>
  <w:style w:type="character" w:styleId="WW8Num5z1" w:customStyle="1">
    <w:name w:val="WW8Num5z1"/>
    <w:uiPriority w:val="99"/>
    <w:qFormat/>
    <w:rsid w:val="006d04af"/>
    <w:rPr/>
  </w:style>
  <w:style w:type="character" w:styleId="WW8Num5z2" w:customStyle="1">
    <w:name w:val="WW8Num5z2"/>
    <w:uiPriority w:val="99"/>
    <w:qFormat/>
    <w:rsid w:val="006d04af"/>
    <w:rPr/>
  </w:style>
  <w:style w:type="character" w:styleId="WW8Num5z3" w:customStyle="1">
    <w:name w:val="WW8Num5z3"/>
    <w:uiPriority w:val="99"/>
    <w:qFormat/>
    <w:rsid w:val="006d04af"/>
    <w:rPr/>
  </w:style>
  <w:style w:type="character" w:styleId="WW8Num5z4" w:customStyle="1">
    <w:name w:val="WW8Num5z4"/>
    <w:uiPriority w:val="99"/>
    <w:qFormat/>
    <w:rsid w:val="006d04af"/>
    <w:rPr/>
  </w:style>
  <w:style w:type="character" w:styleId="WW8Num5z5" w:customStyle="1">
    <w:name w:val="WW8Num5z5"/>
    <w:uiPriority w:val="99"/>
    <w:qFormat/>
    <w:rsid w:val="006d04af"/>
    <w:rPr/>
  </w:style>
  <w:style w:type="character" w:styleId="WW8Num5z6" w:customStyle="1">
    <w:name w:val="WW8Num5z6"/>
    <w:uiPriority w:val="99"/>
    <w:qFormat/>
    <w:rsid w:val="006d04af"/>
    <w:rPr/>
  </w:style>
  <w:style w:type="character" w:styleId="WW8Num5z7" w:customStyle="1">
    <w:name w:val="WW8Num5z7"/>
    <w:uiPriority w:val="99"/>
    <w:qFormat/>
    <w:rsid w:val="006d04af"/>
    <w:rPr/>
  </w:style>
  <w:style w:type="character" w:styleId="WW8Num5z8" w:customStyle="1">
    <w:name w:val="WW8Num5z8"/>
    <w:uiPriority w:val="99"/>
    <w:qFormat/>
    <w:rsid w:val="006d04af"/>
    <w:rPr/>
  </w:style>
  <w:style w:type="character" w:styleId="WW8Num6z0" w:customStyle="1">
    <w:name w:val="WW8Num6z0"/>
    <w:uiPriority w:val="99"/>
    <w:qFormat/>
    <w:rsid w:val="006d04af"/>
    <w:rPr/>
  </w:style>
  <w:style w:type="character" w:styleId="WW8Num7z0" w:customStyle="1">
    <w:name w:val="WW8Num7z0"/>
    <w:uiPriority w:val="99"/>
    <w:qFormat/>
    <w:rsid w:val="006d04af"/>
    <w:rPr>
      <w:rFonts w:ascii="Times New Roman" w:hAnsi="Times New Roman" w:cs="Times New Roman"/>
    </w:rPr>
  </w:style>
  <w:style w:type="character" w:styleId="WW8Num7z1" w:customStyle="1">
    <w:name w:val="WW8Num7z1"/>
    <w:uiPriority w:val="99"/>
    <w:qFormat/>
    <w:rsid w:val="006d04af"/>
    <w:rPr>
      <w:rFonts w:ascii="Courier New" w:hAnsi="Courier New" w:cs="Courier New"/>
    </w:rPr>
  </w:style>
  <w:style w:type="character" w:styleId="WW8Num7z2" w:customStyle="1">
    <w:name w:val="WW8Num7z2"/>
    <w:uiPriority w:val="99"/>
    <w:qFormat/>
    <w:rsid w:val="006d04af"/>
    <w:rPr>
      <w:rFonts w:ascii="Wingdings" w:hAnsi="Wingdings" w:cs="Wingdings"/>
    </w:rPr>
  </w:style>
  <w:style w:type="character" w:styleId="WW8Num7z3" w:customStyle="1">
    <w:name w:val="WW8Num7z3"/>
    <w:uiPriority w:val="99"/>
    <w:qFormat/>
    <w:rsid w:val="006d04af"/>
    <w:rPr>
      <w:rFonts w:ascii="Symbol" w:hAnsi="Symbol" w:cs="Symbol"/>
    </w:rPr>
  </w:style>
  <w:style w:type="character" w:styleId="WW8Num8z0" w:customStyle="1">
    <w:name w:val="WW8Num8z0"/>
    <w:uiPriority w:val="99"/>
    <w:qFormat/>
    <w:rsid w:val="006d04af"/>
    <w:rPr>
      <w:rFonts w:ascii="Times New Roman" w:hAnsi="Times New Roman" w:eastAsia="Batang" w:cs="Times New Roman"/>
    </w:rPr>
  </w:style>
  <w:style w:type="character" w:styleId="WW8Num8z1" w:customStyle="1">
    <w:name w:val="WW8Num8z1"/>
    <w:uiPriority w:val="99"/>
    <w:qFormat/>
    <w:rsid w:val="006d04af"/>
    <w:rPr/>
  </w:style>
  <w:style w:type="character" w:styleId="WW8Num8z2" w:customStyle="1">
    <w:name w:val="WW8Num8z2"/>
    <w:uiPriority w:val="99"/>
    <w:qFormat/>
    <w:rsid w:val="006d04af"/>
    <w:rPr/>
  </w:style>
  <w:style w:type="character" w:styleId="WW8Num8z3" w:customStyle="1">
    <w:name w:val="WW8Num8z3"/>
    <w:uiPriority w:val="99"/>
    <w:qFormat/>
    <w:rsid w:val="006d04af"/>
    <w:rPr/>
  </w:style>
  <w:style w:type="character" w:styleId="WW8Num8z4" w:customStyle="1">
    <w:name w:val="WW8Num8z4"/>
    <w:uiPriority w:val="99"/>
    <w:qFormat/>
    <w:rsid w:val="006d04af"/>
    <w:rPr/>
  </w:style>
  <w:style w:type="character" w:styleId="WW8Num8z5" w:customStyle="1">
    <w:name w:val="WW8Num8z5"/>
    <w:uiPriority w:val="99"/>
    <w:qFormat/>
    <w:rsid w:val="006d04af"/>
    <w:rPr/>
  </w:style>
  <w:style w:type="character" w:styleId="WW8Num8z6" w:customStyle="1">
    <w:name w:val="WW8Num8z6"/>
    <w:uiPriority w:val="99"/>
    <w:qFormat/>
    <w:rsid w:val="006d04af"/>
    <w:rPr/>
  </w:style>
  <w:style w:type="character" w:styleId="WW8Num8z7" w:customStyle="1">
    <w:name w:val="WW8Num8z7"/>
    <w:uiPriority w:val="99"/>
    <w:qFormat/>
    <w:rsid w:val="006d04af"/>
    <w:rPr/>
  </w:style>
  <w:style w:type="character" w:styleId="WW8Num8z8" w:customStyle="1">
    <w:name w:val="WW8Num8z8"/>
    <w:uiPriority w:val="99"/>
    <w:qFormat/>
    <w:rsid w:val="006d04af"/>
    <w:rPr/>
  </w:style>
  <w:style w:type="character" w:styleId="WW8Num9z0" w:customStyle="1">
    <w:name w:val="WW8Num9z0"/>
    <w:uiPriority w:val="99"/>
    <w:qFormat/>
    <w:rsid w:val="006d04af"/>
    <w:rPr>
      <w:rFonts w:ascii="Times New Roman" w:hAnsi="Times New Roman" w:cs="Times New Roman"/>
    </w:rPr>
  </w:style>
  <w:style w:type="character" w:styleId="WW8Num9z1" w:customStyle="1">
    <w:name w:val="WW8Num9z1"/>
    <w:uiPriority w:val="99"/>
    <w:qFormat/>
    <w:rsid w:val="006d04af"/>
    <w:rPr>
      <w:rFonts w:ascii="Courier New" w:hAnsi="Courier New" w:cs="Courier New"/>
    </w:rPr>
  </w:style>
  <w:style w:type="character" w:styleId="WW8Num9z2" w:customStyle="1">
    <w:name w:val="WW8Num9z2"/>
    <w:uiPriority w:val="99"/>
    <w:qFormat/>
    <w:rsid w:val="006d04af"/>
    <w:rPr>
      <w:rFonts w:ascii="Wingdings" w:hAnsi="Wingdings" w:cs="Wingdings"/>
    </w:rPr>
  </w:style>
  <w:style w:type="character" w:styleId="WW8Num9z3" w:customStyle="1">
    <w:name w:val="WW8Num9z3"/>
    <w:uiPriority w:val="99"/>
    <w:qFormat/>
    <w:rsid w:val="006d04af"/>
    <w:rPr>
      <w:rFonts w:ascii="Symbol" w:hAnsi="Symbol" w:cs="Symbol"/>
    </w:rPr>
  </w:style>
  <w:style w:type="character" w:styleId="WW8Num10z0" w:customStyle="1">
    <w:name w:val="WW8Num10z0"/>
    <w:uiPriority w:val="99"/>
    <w:qFormat/>
    <w:rsid w:val="006d04af"/>
    <w:rPr>
      <w:rFonts w:ascii="Times New Roman" w:hAnsi="Times New Roman" w:cs="Times New Roman"/>
    </w:rPr>
  </w:style>
  <w:style w:type="character" w:styleId="WW8Num10z1" w:customStyle="1">
    <w:name w:val="WW8Num10z1"/>
    <w:uiPriority w:val="99"/>
    <w:qFormat/>
    <w:rsid w:val="006d04af"/>
    <w:rPr>
      <w:rFonts w:ascii="Courier New" w:hAnsi="Courier New" w:cs="Courier New"/>
    </w:rPr>
  </w:style>
  <w:style w:type="character" w:styleId="WW8Num10z2" w:customStyle="1">
    <w:name w:val="WW8Num10z2"/>
    <w:uiPriority w:val="99"/>
    <w:qFormat/>
    <w:rsid w:val="006d04af"/>
    <w:rPr>
      <w:rFonts w:ascii="Wingdings" w:hAnsi="Wingdings" w:cs="Wingdings"/>
    </w:rPr>
  </w:style>
  <w:style w:type="character" w:styleId="WW8Num10z3" w:customStyle="1">
    <w:name w:val="WW8Num10z3"/>
    <w:uiPriority w:val="99"/>
    <w:qFormat/>
    <w:rsid w:val="006d04af"/>
    <w:rPr>
      <w:rFonts w:ascii="Symbol" w:hAnsi="Symbol" w:cs="Symbol"/>
    </w:rPr>
  </w:style>
  <w:style w:type="character" w:styleId="WW8Num11z0" w:customStyle="1">
    <w:name w:val="WW8Num11z0"/>
    <w:uiPriority w:val="99"/>
    <w:qFormat/>
    <w:rsid w:val="006d04af"/>
    <w:rPr>
      <w:w w:val="100"/>
      <w:lang w:val="uk-UA"/>
    </w:rPr>
  </w:style>
  <w:style w:type="character" w:styleId="WW8Num11z1" w:customStyle="1">
    <w:name w:val="WW8Num11z1"/>
    <w:uiPriority w:val="99"/>
    <w:qFormat/>
    <w:rsid w:val="006d04af"/>
    <w:rPr>
      <w:lang w:val="uk-UA"/>
    </w:rPr>
  </w:style>
  <w:style w:type="character" w:styleId="WW8Num12z0" w:customStyle="1">
    <w:name w:val="WW8Num12z0"/>
    <w:uiPriority w:val="99"/>
    <w:qFormat/>
    <w:rsid w:val="006d04af"/>
    <w:rPr>
      <w:rFonts w:ascii="Times New Roman" w:hAnsi="Times New Roman" w:cs="Times New Roman"/>
      <w:w w:val="100"/>
      <w:sz w:val="24"/>
      <w:szCs w:val="24"/>
      <w:lang w:val="uk-UA"/>
    </w:rPr>
  </w:style>
  <w:style w:type="character" w:styleId="WW8Num12z1" w:customStyle="1">
    <w:name w:val="WW8Num12z1"/>
    <w:uiPriority w:val="99"/>
    <w:qFormat/>
    <w:rsid w:val="006d04af"/>
    <w:rPr>
      <w:lang w:val="uk-UA"/>
    </w:rPr>
  </w:style>
  <w:style w:type="character" w:styleId="WW8Num13z0" w:customStyle="1">
    <w:name w:val="WW8Num13z0"/>
    <w:uiPriority w:val="99"/>
    <w:qFormat/>
    <w:rsid w:val="006d04af"/>
    <w:rPr>
      <w:b/>
      <w:bCs/>
      <w:w w:val="100"/>
      <w:lang w:val="uk-UA"/>
    </w:rPr>
  </w:style>
  <w:style w:type="character" w:styleId="WW8Num13z1" w:customStyle="1">
    <w:name w:val="WW8Num13z1"/>
    <w:uiPriority w:val="99"/>
    <w:qFormat/>
    <w:rsid w:val="006d04af"/>
    <w:rPr>
      <w:lang w:val="uk-UA"/>
    </w:rPr>
  </w:style>
  <w:style w:type="character" w:styleId="22" w:customStyle="1">
    <w:name w:val="Основной шрифт абзаца2"/>
    <w:uiPriority w:val="99"/>
    <w:qFormat/>
    <w:rsid w:val="006d04af"/>
    <w:rPr/>
  </w:style>
  <w:style w:type="character" w:styleId="12" w:customStyle="1">
    <w:name w:val="Основной шрифт абзаца1"/>
    <w:uiPriority w:val="99"/>
    <w:qFormat/>
    <w:rsid w:val="006d04af"/>
    <w:rPr/>
  </w:style>
  <w:style w:type="character" w:styleId="Rvts9" w:customStyle="1">
    <w:name w:val="rvts9"/>
    <w:uiPriority w:val="99"/>
    <w:qFormat/>
    <w:rsid w:val="006d04af"/>
    <w:rPr/>
  </w:style>
  <w:style w:type="character" w:styleId="Style10" w:customStyle="1">
    <w:name w:val="Верхний колонтитул Знак"/>
    <w:uiPriority w:val="99"/>
    <w:qFormat/>
    <w:rsid w:val="006d04af"/>
    <w:rPr>
      <w:sz w:val="24"/>
      <w:szCs w:val="24"/>
      <w:lang w:eastAsia="zh-CN"/>
    </w:rPr>
  </w:style>
  <w:style w:type="character" w:styleId="Style11" w:customStyle="1">
    <w:name w:val="Текст выноски Знак"/>
    <w:uiPriority w:val="99"/>
    <w:qFormat/>
    <w:rsid w:val="006d04af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6d04af"/>
    <w:rPr/>
  </w:style>
  <w:style w:type="character" w:styleId="32" w:customStyle="1">
    <w:name w:val="Заголовок 3 Знак"/>
    <w:uiPriority w:val="99"/>
    <w:qFormat/>
    <w:rsid w:val="006d04af"/>
    <w:rPr>
      <w:b/>
      <w:bCs/>
      <w:lang w:val="en-US" w:eastAsia="zh-CN"/>
    </w:rPr>
  </w:style>
  <w:style w:type="character" w:styleId="Style12">
    <w:name w:val="Гіперпосилання"/>
    <w:uiPriority w:val="99"/>
    <w:rsid w:val="006d04af"/>
    <w:rPr>
      <w:color w:val="0000FF"/>
      <w:u w:val="single"/>
    </w:rPr>
  </w:style>
  <w:style w:type="character" w:styleId="Strong">
    <w:name w:val="Strong"/>
    <w:uiPriority w:val="99"/>
    <w:qFormat/>
    <w:rsid w:val="006d04af"/>
    <w:rPr>
      <w:b/>
      <w:bCs/>
    </w:rPr>
  </w:style>
  <w:style w:type="character" w:styleId="Style13" w:customStyle="1">
    <w:name w:val="Нижний колонтитул Знак"/>
    <w:uiPriority w:val="99"/>
    <w:qFormat/>
    <w:rsid w:val="006d04af"/>
    <w:rPr>
      <w:sz w:val="18"/>
      <w:szCs w:val="18"/>
      <w:lang w:val="en-US" w:eastAsia="zh-CN"/>
    </w:rPr>
  </w:style>
  <w:style w:type="character" w:styleId="Style14" w:customStyle="1">
    <w:name w:val="Основной текст с отступом Знак"/>
    <w:uiPriority w:val="99"/>
    <w:qFormat/>
    <w:rsid w:val="006d04af"/>
    <w:rPr>
      <w:sz w:val="24"/>
      <w:szCs w:val="24"/>
      <w:lang w:val="ru-RU"/>
    </w:rPr>
  </w:style>
  <w:style w:type="character" w:styleId="33" w:customStyle="1">
    <w:name w:val="Основной текст с отступом 3 Знак"/>
    <w:uiPriority w:val="99"/>
    <w:qFormat/>
    <w:rsid w:val="006d04af"/>
    <w:rPr>
      <w:sz w:val="16"/>
      <w:szCs w:val="16"/>
    </w:rPr>
  </w:style>
  <w:style w:type="character" w:styleId="72" w:customStyle="1">
    <w:name w:val="Заголовок 7 Знак"/>
    <w:uiPriority w:val="99"/>
    <w:qFormat/>
    <w:rsid w:val="006d04af"/>
    <w:rPr>
      <w:rFonts w:ascii="Calibri" w:hAnsi="Calibri" w:cs="Calibri"/>
      <w:sz w:val="21"/>
      <w:szCs w:val="21"/>
      <w:lang w:val="en-US" w:eastAsia="zh-CN"/>
    </w:rPr>
  </w:style>
  <w:style w:type="character" w:styleId="Style15" w:customStyle="1">
    <w:name w:val="Основний текст Знак"/>
    <w:link w:val="aa"/>
    <w:uiPriority w:val="99"/>
    <w:semiHidden/>
    <w:qFormat/>
    <w:locked/>
    <w:rsid w:val="00a61ce0"/>
    <w:rPr>
      <w:sz w:val="20"/>
      <w:szCs w:val="20"/>
      <w:lang w:val="en-US" w:eastAsia="zh-CN"/>
    </w:rPr>
  </w:style>
  <w:style w:type="character" w:styleId="Style16" w:customStyle="1">
    <w:name w:val="Підзаголовок Знак"/>
    <w:link w:val="af0"/>
    <w:uiPriority w:val="99"/>
    <w:qFormat/>
    <w:locked/>
    <w:rsid w:val="00a61ce0"/>
    <w:rPr>
      <w:rFonts w:ascii="Cambria" w:hAnsi="Cambria" w:cs="Cambria"/>
      <w:sz w:val="24"/>
      <w:szCs w:val="24"/>
      <w:lang w:val="en-US" w:eastAsia="zh-CN"/>
    </w:rPr>
  </w:style>
  <w:style w:type="character" w:styleId="Style17" w:customStyle="1">
    <w:name w:val="Верхній колонтитул Знак"/>
    <w:link w:val="af3"/>
    <w:uiPriority w:val="99"/>
    <w:semiHidden/>
    <w:qFormat/>
    <w:locked/>
    <w:rsid w:val="00a61ce0"/>
    <w:rPr>
      <w:sz w:val="20"/>
      <w:szCs w:val="20"/>
      <w:lang w:val="en-US" w:eastAsia="zh-CN"/>
    </w:rPr>
  </w:style>
  <w:style w:type="character" w:styleId="Style18" w:customStyle="1">
    <w:name w:val="Текст у виносці Знак"/>
    <w:link w:val="af5"/>
    <w:uiPriority w:val="99"/>
    <w:semiHidden/>
    <w:qFormat/>
    <w:locked/>
    <w:rsid w:val="00a61ce0"/>
    <w:rPr>
      <w:sz w:val="2"/>
      <w:szCs w:val="2"/>
      <w:lang w:val="en-US" w:eastAsia="zh-CN"/>
    </w:rPr>
  </w:style>
  <w:style w:type="character" w:styleId="Style19" w:customStyle="1">
    <w:name w:val="Нижній колонтитул Знак"/>
    <w:link w:val="af8"/>
    <w:uiPriority w:val="99"/>
    <w:semiHidden/>
    <w:qFormat/>
    <w:locked/>
    <w:rsid w:val="00a61ce0"/>
    <w:rPr>
      <w:sz w:val="20"/>
      <w:szCs w:val="20"/>
      <w:lang w:val="en-US" w:eastAsia="zh-CN"/>
    </w:rPr>
  </w:style>
  <w:style w:type="character" w:styleId="Style20" w:customStyle="1">
    <w:name w:val="Основний текст з відступом Знак"/>
    <w:link w:val="afa"/>
    <w:uiPriority w:val="99"/>
    <w:semiHidden/>
    <w:qFormat/>
    <w:locked/>
    <w:rsid w:val="00a61ce0"/>
    <w:rPr>
      <w:sz w:val="20"/>
      <w:szCs w:val="20"/>
      <w:lang w:val="en-US" w:eastAsia="zh-CN"/>
    </w:rPr>
  </w:style>
  <w:style w:type="character" w:styleId="23" w:customStyle="1">
    <w:name w:val="Основний текст з відступом 2 Знак"/>
    <w:link w:val="24"/>
    <w:uiPriority w:val="99"/>
    <w:qFormat/>
    <w:locked/>
    <w:rsid w:val="00b669b7"/>
    <w:rPr>
      <w:lang w:val="en-US" w:eastAsia="zh-CN"/>
    </w:rPr>
  </w:style>
  <w:style w:type="paragraph" w:styleId="Style21" w:customStyle="1">
    <w:name w:val="Заголовок"/>
    <w:basedOn w:val="Normal"/>
    <w:next w:val="Style22"/>
    <w:uiPriority w:val="99"/>
    <w:qFormat/>
    <w:rsid w:val="006d04af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Style22">
    <w:name w:val="Body Text"/>
    <w:basedOn w:val="Normal"/>
    <w:link w:val="ab"/>
    <w:uiPriority w:val="99"/>
    <w:rsid w:val="006d04af"/>
    <w:pPr>
      <w:spacing w:lineRule="auto" w:line="288" w:before="0" w:after="140"/>
    </w:pPr>
    <w:rPr/>
  </w:style>
  <w:style w:type="paragraph" w:styleId="Style23">
    <w:name w:val="List"/>
    <w:basedOn w:val="Style22"/>
    <w:uiPriority w:val="99"/>
    <w:rsid w:val="006d04af"/>
    <w:pPr/>
    <w:rPr/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5" w:customStyle="1">
    <w:name w:val="Покажчик"/>
    <w:basedOn w:val="Normal"/>
    <w:uiPriority w:val="99"/>
    <w:qFormat/>
    <w:rsid w:val="006d04af"/>
    <w:pPr>
      <w:suppressLineNumbers/>
    </w:pPr>
    <w:rPr/>
  </w:style>
  <w:style w:type="paragraph" w:styleId="Caption">
    <w:name w:val="caption"/>
    <w:basedOn w:val="Normal"/>
    <w:uiPriority w:val="99"/>
    <w:qFormat/>
    <w:rsid w:val="006d04af"/>
    <w:pPr>
      <w:suppressLineNumbers/>
      <w:spacing w:before="120" w:after="120"/>
    </w:pPr>
    <w:rPr>
      <w:i/>
      <w:iCs/>
      <w:sz w:val="24"/>
      <w:szCs w:val="24"/>
    </w:rPr>
  </w:style>
  <w:style w:type="paragraph" w:styleId="24" w:customStyle="1">
    <w:name w:val="Название объекта2"/>
    <w:basedOn w:val="Style21"/>
    <w:uiPriority w:val="99"/>
    <w:qFormat/>
    <w:rsid w:val="006d04af"/>
    <w:pPr>
      <w:jc w:val="center"/>
    </w:pPr>
    <w:rPr>
      <w:b/>
      <w:bCs/>
      <w:sz w:val="56"/>
      <w:szCs w:val="56"/>
    </w:rPr>
  </w:style>
  <w:style w:type="paragraph" w:styleId="25" w:customStyle="1">
    <w:name w:val="Указатель2"/>
    <w:basedOn w:val="Normal"/>
    <w:uiPriority w:val="99"/>
    <w:qFormat/>
    <w:rsid w:val="006d04af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6d04af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6d04af"/>
    <w:pPr>
      <w:suppressLineNumbers/>
    </w:pPr>
    <w:rPr/>
  </w:style>
  <w:style w:type="paragraph" w:styleId="Style26" w:customStyle="1">
    <w:name w:val="Блочная цитата"/>
    <w:basedOn w:val="Normal"/>
    <w:uiPriority w:val="99"/>
    <w:qFormat/>
    <w:rsid w:val="006d04af"/>
    <w:pPr>
      <w:spacing w:before="0" w:after="283"/>
      <w:ind w:left="567" w:right="567" w:hanging="0"/>
    </w:pPr>
    <w:rPr/>
  </w:style>
  <w:style w:type="paragraph" w:styleId="Style27">
    <w:name w:val="Subtitle"/>
    <w:basedOn w:val="Style21"/>
    <w:link w:val="af1"/>
    <w:uiPriority w:val="99"/>
    <w:qFormat/>
    <w:rsid w:val="006d04af"/>
    <w:pPr>
      <w:spacing w:before="60" w:after="120"/>
      <w:jc w:val="center"/>
    </w:pPr>
    <w:rPr>
      <w:rFonts w:ascii="Cambria" w:hAnsi="Cambria" w:eastAsia="Times New Roman" w:cs="Cambria"/>
      <w:sz w:val="24"/>
      <w:szCs w:val="24"/>
    </w:rPr>
  </w:style>
  <w:style w:type="paragraph" w:styleId="15" w:customStyle="1">
    <w:name w:val="Название1"/>
    <w:basedOn w:val="Style21"/>
    <w:uiPriority w:val="99"/>
    <w:qFormat/>
    <w:rsid w:val="006d04af"/>
    <w:pPr>
      <w:jc w:val="center"/>
    </w:pPr>
    <w:rPr>
      <w:b/>
      <w:bCs/>
      <w:sz w:val="56"/>
      <w:szCs w:val="56"/>
    </w:rPr>
  </w:style>
  <w:style w:type="paragraph" w:styleId="Style28" w:customStyle="1">
    <w:name w:val="Знак"/>
    <w:basedOn w:val="Normal"/>
    <w:uiPriority w:val="99"/>
    <w:qFormat/>
    <w:rsid w:val="006d04af"/>
    <w:pPr>
      <w:suppressAutoHyphens w:val="false"/>
    </w:pPr>
    <w:rPr>
      <w:rFonts w:ascii="Verdana" w:hAnsi="Verdana" w:cs="Verdana"/>
    </w:rPr>
  </w:style>
  <w:style w:type="paragraph" w:styleId="Western" w:customStyle="1">
    <w:name w:val="western"/>
    <w:basedOn w:val="Normal"/>
    <w:uiPriority w:val="99"/>
    <w:qFormat/>
    <w:rsid w:val="006d04af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9">
    <w:name w:val="Header"/>
    <w:basedOn w:val="Normal"/>
    <w:link w:val="af4"/>
    <w:uiPriority w:val="99"/>
    <w:rsid w:val="006d04af"/>
    <w:pPr>
      <w:tabs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af6"/>
    <w:uiPriority w:val="99"/>
    <w:semiHidden/>
    <w:qFormat/>
    <w:rsid w:val="006d04af"/>
    <w:pPr/>
    <w:rPr>
      <w:sz w:val="2"/>
      <w:szCs w:val="2"/>
    </w:rPr>
  </w:style>
  <w:style w:type="paragraph" w:styleId="NormalWeb">
    <w:name w:val="Normal (Web)"/>
    <w:basedOn w:val="Normal"/>
    <w:uiPriority w:val="99"/>
    <w:qFormat/>
    <w:rsid w:val="006d04af"/>
    <w:pPr>
      <w:suppressAutoHyphens w:val="false"/>
      <w:spacing w:before="100" w:after="100"/>
    </w:pPr>
    <w:rPr>
      <w:sz w:val="24"/>
      <w:szCs w:val="24"/>
      <w:lang w:val="uk-UA"/>
    </w:rPr>
  </w:style>
  <w:style w:type="paragraph" w:styleId="Style30">
    <w:name w:val="Footer"/>
    <w:basedOn w:val="Normal"/>
    <w:link w:val="af9"/>
    <w:uiPriority w:val="99"/>
    <w:rsid w:val="006d04af"/>
    <w:pPr>
      <w:tabs>
        <w:tab w:val="center" w:pos="4819" w:leader="none"/>
        <w:tab w:val="right" w:pos="9639" w:leader="none"/>
      </w:tabs>
    </w:pPr>
    <w:rPr/>
  </w:style>
  <w:style w:type="paragraph" w:styleId="Style31">
    <w:name w:val="Body Text Indent"/>
    <w:basedOn w:val="Normal"/>
    <w:link w:val="afb"/>
    <w:uiPriority w:val="99"/>
    <w:rsid w:val="006d04af"/>
    <w:pPr>
      <w:suppressAutoHyphens w:val="false"/>
      <w:spacing w:before="0" w:after="120"/>
      <w:ind w:left="283" w:hanging="0"/>
    </w:pPr>
    <w:rPr/>
  </w:style>
  <w:style w:type="paragraph" w:styleId="311" w:customStyle="1">
    <w:name w:val="Основной текст с отступом 31"/>
    <w:basedOn w:val="Normal"/>
    <w:uiPriority w:val="99"/>
    <w:qFormat/>
    <w:rsid w:val="006d04af"/>
    <w:pPr>
      <w:suppressAutoHyphens w:val="false"/>
      <w:spacing w:before="0" w:after="120"/>
      <w:ind w:left="283" w:hanging="0"/>
    </w:pPr>
    <w:rPr>
      <w:sz w:val="16"/>
      <w:szCs w:val="16"/>
      <w:lang w:val="uk-UA"/>
    </w:rPr>
  </w:style>
  <w:style w:type="paragraph" w:styleId="FR2" w:customStyle="1">
    <w:name w:val="FR2"/>
    <w:uiPriority w:val="99"/>
    <w:qFormat/>
    <w:rsid w:val="006d04af"/>
    <w:pPr>
      <w:widowControl w:val="false"/>
      <w:suppressAutoHyphens w:val="tru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zh-CN" w:val="uk-UA" w:bidi="ar-SA"/>
    </w:rPr>
  </w:style>
  <w:style w:type="paragraph" w:styleId="16" w:customStyle="1">
    <w:name w:val="Обычный1"/>
    <w:uiPriority w:val="99"/>
    <w:qFormat/>
    <w:rsid w:val="006d04af"/>
    <w:pPr>
      <w:widowControl/>
      <w:suppressAutoHyphens w:val="true"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zh-CN" w:val="uk-UA" w:bidi="ar-SA"/>
    </w:rPr>
  </w:style>
  <w:style w:type="paragraph" w:styleId="Style32" w:customStyle="1">
    <w:name w:val="Вміст таблиці"/>
    <w:basedOn w:val="Normal"/>
    <w:uiPriority w:val="99"/>
    <w:qFormat/>
    <w:rsid w:val="006d04af"/>
    <w:pPr>
      <w:suppressLineNumbers/>
    </w:pPr>
    <w:rPr/>
  </w:style>
  <w:style w:type="paragraph" w:styleId="Style33" w:customStyle="1">
    <w:name w:val="Заголовок таблиці"/>
    <w:basedOn w:val="Style32"/>
    <w:uiPriority w:val="99"/>
    <w:qFormat/>
    <w:rsid w:val="006d04af"/>
    <w:pPr>
      <w:jc w:val="center"/>
    </w:pPr>
    <w:rPr>
      <w:b/>
      <w:bCs/>
    </w:rPr>
  </w:style>
  <w:style w:type="paragraph" w:styleId="BodyTextIndent2">
    <w:name w:val="Body Text Indent 2"/>
    <w:basedOn w:val="Normal"/>
    <w:link w:val="25"/>
    <w:uiPriority w:val="99"/>
    <w:qFormat/>
    <w:rsid w:val="00b669b7"/>
    <w:pPr>
      <w:spacing w:lineRule="auto" w:line="480" w:before="0" w:after="120"/>
      <w:ind w:left="283" w:hanging="0"/>
    </w:pPr>
    <w:rPr/>
  </w:style>
  <w:style w:type="paragraph" w:styleId="Heading11" w:customStyle="1">
    <w:name w:val="Heading 11"/>
    <w:basedOn w:val="Normal"/>
    <w:uiPriority w:val="99"/>
    <w:qFormat/>
    <w:rsid w:val="0039227e"/>
    <w:pPr>
      <w:widowControl w:val="false"/>
      <w:suppressAutoHyphens w:val="false"/>
      <w:ind w:left="342" w:hanging="320"/>
      <w:outlineLvl w:val="1"/>
    </w:pPr>
    <w:rPr>
      <w:b/>
      <w:bCs/>
      <w:sz w:val="28"/>
      <w:szCs w:val="28"/>
      <w:lang w:val="uk-UA" w:eastAsia="en-US"/>
    </w:rPr>
  </w:style>
  <w:style w:type="paragraph" w:styleId="NoSpacing">
    <w:name w:val="No Spacing"/>
    <w:uiPriority w:val="99"/>
    <w:qFormat/>
    <w:rsid w:val="00f761ef"/>
    <w:pPr>
      <w:widowControl/>
      <w:bidi w:val="0"/>
      <w:jc w:val="left"/>
    </w:pPr>
    <w:rPr>
      <w:rFonts w:ascii="Calibri" w:hAnsi="Calibri" w:cs="Calibri" w:eastAsia="Times New Roman"/>
      <w:color w:val="auto"/>
      <w:sz w:val="22"/>
      <w:szCs w:val="22"/>
      <w:lang w:eastAsia="en-US" w:val="uk-UA" w:bidi="ar-SA"/>
    </w:rPr>
  </w:style>
  <w:style w:type="paragraph" w:styleId="17" w:customStyle="1">
    <w:name w:val="Без интервала1"/>
    <w:uiPriority w:val="99"/>
    <w:qFormat/>
    <w:rsid w:val="00d54d2d"/>
    <w:pPr>
      <w:widowControl/>
      <w:suppressAutoHyphens w:val="true"/>
      <w:bidi w:val="0"/>
      <w:jc w:val="left"/>
    </w:pPr>
    <w:rPr>
      <w:rFonts w:ascii="Arial" w:hAnsi="Arial" w:eastAsia="Arial Unicode MS" w:cs="Arial"/>
      <w:color w:val="auto"/>
      <w:sz w:val="20"/>
      <w:szCs w:val="20"/>
      <w:lang w:eastAsia="hi-IN" w:bidi="hi-IN" w:val="uk-UA"/>
    </w:rPr>
  </w:style>
  <w:style w:type="paragraph" w:styleId="26" w:customStyle="1">
    <w:name w:val="Обычный2"/>
    <w:uiPriority w:val="99"/>
    <w:qFormat/>
    <w:rsid w:val="0034439e"/>
    <w:pPr>
      <w:widowControl/>
      <w:bidi w:val="0"/>
      <w:jc w:val="center"/>
    </w:pPr>
    <w:rPr>
      <w:rFonts w:eastAsia="SimSun" w:ascii="Times New Roman" w:hAnsi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Rtejustify" w:customStyle="1">
    <w:name w:val="rtejustify"/>
    <w:basedOn w:val="Normal"/>
    <w:uiPriority w:val="99"/>
    <w:qFormat/>
    <w:rsid w:val="00a23d8d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LibreOffice/5.1.6.2$Windows_X86_64 LibreOffice_project/07ac168c60a517dba0f0d7bc7540f5afa45f0909</Application>
  <Pages>9</Pages>
  <Words>2000</Words>
  <Characters>14965</Characters>
  <CharactersWithSpaces>16931</CharactersWithSpaces>
  <Paragraphs>185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2023-11-16T10:52:00Z</dcterms:created>
  <dc:creator>Работа</dc:creator>
  <dc:description/>
  <dc:language>uk-UA</dc:language>
  <cp:lastModifiedBy/>
  <cp:lastPrinted>2023-10-24T08:26:00Z</cp:lastPrinted>
  <dcterms:modified xsi:type="dcterms:W3CDTF">2024-10-14T10:53:06Z</dcterms:modified>
  <cp:revision>28</cp:revision>
  <dc:subject/>
  <dc:title>ЗАТВЕРДЖЕНО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