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19.09.2024  </w:t>
      </w:r>
      <w:bookmarkStart w:id="0" w:name="_GoBack"/>
      <w:bookmarkEnd w:id="0"/>
      <w:r>
        <w:rPr>
          <w:sz w:val="24"/>
          <w:szCs w:val="24"/>
          <w:lang w:val="uk-UA"/>
        </w:rPr>
        <w:t>№ 1693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Зміни до </w:t>
      </w:r>
      <w:bookmarkStart w:id="1" w:name="BM255"/>
      <w:bookmarkStart w:id="2" w:name="BM254"/>
      <w:bookmarkEnd w:id="1"/>
      <w:bookmarkEnd w:id="2"/>
      <w:r>
        <w:rPr>
          <w:sz w:val="24"/>
          <w:szCs w:val="24"/>
          <w:lang w:val="uk-UA"/>
        </w:rPr>
        <w:t>розділів Програми  із запобігання та ліквідації надзвичайних ситуацій, наслідків стихійного лиха та воєнних дій на території Слов’янської міської територіальної громади на 2024  рік</w:t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1165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53"/>
        <w:gridCol w:w="2773"/>
        <w:gridCol w:w="1202"/>
        <w:gridCol w:w="1109"/>
        <w:gridCol w:w="1275"/>
        <w:gridCol w:w="1276"/>
        <w:gridCol w:w="1134"/>
        <w:gridCol w:w="1841"/>
      </w:tblGrid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1) пункт 8.1 викласти в такій редакції:</w:t>
            </w:r>
          </w:p>
        </w:tc>
      </w:tr>
      <w:tr>
        <w:trPr>
          <w:trHeight w:val="387" w:hRule="atLeast"/>
        </w:trPr>
        <w:tc>
          <w:tcPr>
            <w:tcW w:w="55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277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у тому числі за роками:</w:t>
            </w:r>
          </w:p>
        </w:tc>
        <w:tc>
          <w:tcPr>
            <w:tcW w:w="120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663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61" w:hRule="atLeast"/>
        </w:trPr>
        <w:tc>
          <w:tcPr>
            <w:tcW w:w="55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77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20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243" w:hRule="atLeast"/>
        </w:trPr>
        <w:tc>
          <w:tcPr>
            <w:tcW w:w="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8.1</w:t>
            </w:r>
          </w:p>
        </w:tc>
        <w:tc>
          <w:tcPr>
            <w:tcW w:w="27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392 032,794</w:t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22 281,340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11 924,900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332 157,658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25 668,886</w:t>
            </w:r>
          </w:p>
        </w:tc>
      </w:tr>
    </w:tbl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Перелік завдань і заходів 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5306" w:type="dxa"/>
        <w:jc w:val="left"/>
        <w:tblInd w:w="-3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2"/>
        <w:gridCol w:w="564"/>
        <w:gridCol w:w="2419"/>
        <w:gridCol w:w="995"/>
        <w:gridCol w:w="1570"/>
        <w:gridCol w:w="1134"/>
        <w:gridCol w:w="986"/>
        <w:gridCol w:w="139"/>
        <w:gridCol w:w="972"/>
        <w:gridCol w:w="1134"/>
        <w:gridCol w:w="709"/>
        <w:gridCol w:w="984"/>
        <w:gridCol w:w="141"/>
        <w:gridCol w:w="852"/>
        <w:gridCol w:w="854"/>
      </w:tblGrid>
      <w:tr>
        <w:trPr>
          <w:trHeight w:val="300" w:hRule="atLeast"/>
        </w:trPr>
        <w:tc>
          <w:tcPr>
            <w:tcW w:w="185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41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57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6058" w:type="dxa"/>
            <w:gridSpan w:val="7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1847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41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57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924" w:type="dxa"/>
            <w:gridSpan w:val="6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1847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41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57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6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245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709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984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993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854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682" w:hRule="atLeast"/>
        </w:trPr>
        <w:tc>
          <w:tcPr>
            <w:tcW w:w="18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41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57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6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11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709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4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54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41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5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98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1111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70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8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993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85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5305" w:type="dxa"/>
            <w:gridSpan w:val="15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437" w:hRule="atLeast"/>
        </w:trPr>
        <w:tc>
          <w:tcPr>
            <w:tcW w:w="15305" w:type="dxa"/>
            <w:gridSpan w:val="15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Web"/>
              <w:spacing w:beforeAutospacing="0" w:before="0" w:afterAutospacing="0" w:after="0"/>
              <w:rPr>
                <w:sz w:val="20"/>
                <w:szCs w:val="20"/>
              </w:rPr>
            </w:pPr>
            <w:r>
              <w:rPr/>
              <w:t>1)  заходи 22, 25, 28, 32, 49, 50, 74, 76, 81, 109  завдання «</w:t>
            </w:r>
            <w:r>
              <w:rPr>
                <w:lang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b/>
                <w:bCs/>
              </w:rPr>
              <w:t> </w:t>
            </w:r>
            <w:r>
              <w:rPr/>
              <w:t>»  викласти в такій редакції:</w:t>
            </w:r>
          </w:p>
        </w:tc>
      </w:tr>
      <w:tr>
        <w:trPr>
          <w:trHeight w:val="437" w:hRule="atLeast"/>
        </w:trPr>
        <w:tc>
          <w:tcPr>
            <w:tcW w:w="1852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b/>
                <w:b/>
                <w:bCs/>
                <w:lang w:val="uk-UA" w:eastAsia="uk-UA"/>
              </w:rPr>
            </w:pPr>
            <w:r>
              <w:rPr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b/>
                <w:bCs/>
                <w:lang w:val="uk-UA" w:eastAsia="uk-UA"/>
              </w:rPr>
              <w:t> </w:t>
            </w:r>
          </w:p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241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rPr/>
            </w:pPr>
            <w:r>
              <w:rPr>
                <w:color w:val="000000"/>
                <w:sz w:val="20"/>
                <w:szCs w:val="20"/>
              </w:rPr>
              <w:t xml:space="preserve">Капітальний ремонт житлового будинку по </w:t>
            </w:r>
            <w:bookmarkStart w:id="3" w:name="__DdeLink__949_2115540200"/>
            <w:r>
              <w:rPr>
                <w:i/>
                <w:iCs/>
                <w:color w:val="000000"/>
                <w:sz w:val="20"/>
                <w:szCs w:val="20"/>
              </w:rPr>
              <w:t>(конфіденційна інформація)</w:t>
            </w:r>
            <w:r>
              <w:rPr>
                <w:i/>
                <w:iCs/>
                <w:color w:val="000000"/>
                <w:sz w:val="20"/>
                <w:szCs w:val="20"/>
              </w:rPr>
              <w:t xml:space="preserve"> </w:t>
            </w:r>
            <w:bookmarkEnd w:id="3"/>
            <w:r>
              <w:rPr>
                <w:color w:val="000000"/>
                <w:sz w:val="20"/>
                <w:szCs w:val="20"/>
              </w:rPr>
              <w:t>м.Слов’янськ (ліквідація наслідків збройної агресії РФ) (в т.ч. коригування проєктно-кошторисної документації)</w:t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7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3358,185</w:t>
            </w:r>
          </w:p>
        </w:tc>
        <w:tc>
          <w:tcPr>
            <w:tcW w:w="98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11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3358,185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8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кількість відновлених будинків</w:t>
            </w:r>
          </w:p>
        </w:tc>
        <w:tc>
          <w:tcPr>
            <w:tcW w:w="85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од.</w:t>
            </w:r>
          </w:p>
        </w:tc>
      </w:tr>
      <w:tr>
        <w:trPr>
          <w:trHeight w:val="437" w:hRule="atLeast"/>
        </w:trPr>
        <w:tc>
          <w:tcPr>
            <w:tcW w:w="1852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241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rPr/>
            </w:pPr>
            <w:r>
              <w:rPr>
                <w:color w:val="000000"/>
                <w:sz w:val="20"/>
                <w:szCs w:val="20"/>
              </w:rPr>
              <w:t xml:space="preserve">Капітальний ремонт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</w:rPr>
              <w:t>(конфіденційна інформація)</w:t>
            </w:r>
            <w:r>
              <w:rPr>
                <w:i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 м.Слов’янськ (ліквідація наслідків збройної агресії РФ) (в т.ч. коригування проєктно-кошторисної документації)</w:t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7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17788,000</w:t>
            </w:r>
          </w:p>
        </w:tc>
        <w:tc>
          <w:tcPr>
            <w:tcW w:w="98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17788,000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8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будівельна готовність об’єкту</w:t>
            </w:r>
          </w:p>
        </w:tc>
        <w:tc>
          <w:tcPr>
            <w:tcW w:w="85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100 %</w:t>
            </w:r>
          </w:p>
        </w:tc>
      </w:tr>
      <w:tr>
        <w:trPr>
          <w:trHeight w:val="437" w:hRule="atLeast"/>
        </w:trPr>
        <w:tc>
          <w:tcPr>
            <w:tcW w:w="1852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241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rPr/>
            </w:pPr>
            <w:r>
              <w:rPr>
                <w:color w:val="000000"/>
                <w:sz w:val="20"/>
                <w:szCs w:val="20"/>
              </w:rPr>
              <w:t xml:space="preserve">Капітальний ремонт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</w:rPr>
              <w:t>(конфіденційна інформація)</w:t>
            </w:r>
            <w:r>
              <w:rPr>
                <w:i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 м.Слов’янськ (ліквідація наслідків збройної агресії РФ) (в т.ч. коригування проєктно-кошторисної документації)</w:t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7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14658,621</w:t>
            </w:r>
          </w:p>
        </w:tc>
        <w:tc>
          <w:tcPr>
            <w:tcW w:w="98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14658,621</w:t>
            </w: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8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будівельна готовність об’єкту</w:t>
            </w:r>
          </w:p>
        </w:tc>
        <w:tc>
          <w:tcPr>
            <w:tcW w:w="85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100 %</w:t>
            </w:r>
          </w:p>
        </w:tc>
      </w:tr>
      <w:tr>
        <w:trPr>
          <w:trHeight w:val="437" w:hRule="atLeast"/>
        </w:trPr>
        <w:tc>
          <w:tcPr>
            <w:tcW w:w="1852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41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rPr/>
            </w:pPr>
            <w:r>
              <w:rPr>
                <w:color w:val="000000"/>
                <w:sz w:val="20"/>
                <w:szCs w:val="20"/>
              </w:rPr>
              <w:t xml:space="preserve">Капітальний ремонт багатоквартирного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</w:rPr>
              <w:t>(конфіденційна інформація)</w:t>
            </w:r>
            <w:r>
              <w:rPr>
                <w:i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 м.Слов’янськ, пошкодженого внаслідок збройної агресії РФ (заміна вікон в місцях загального користування) (в т.ч. коригування проєктно-кошторисної документації)</w:t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7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128,842</w:t>
            </w:r>
          </w:p>
        </w:tc>
        <w:tc>
          <w:tcPr>
            <w:tcW w:w="98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128,842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8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будівельна готовність об’єкту</w:t>
            </w:r>
          </w:p>
        </w:tc>
        <w:tc>
          <w:tcPr>
            <w:tcW w:w="85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100 %</w:t>
            </w:r>
          </w:p>
        </w:tc>
      </w:tr>
      <w:tr>
        <w:trPr>
          <w:trHeight w:val="437" w:hRule="atLeast"/>
        </w:trPr>
        <w:tc>
          <w:tcPr>
            <w:tcW w:w="1852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49</w:t>
            </w:r>
          </w:p>
        </w:tc>
        <w:tc>
          <w:tcPr>
            <w:tcW w:w="241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(аварійно-відновлювальні роботи) покрівлі гуртожитку по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 xml:space="preserve"> </w:t>
            </w:r>
            <w:r>
              <w:rPr>
                <w:lang w:val="uk-UA"/>
              </w:rPr>
              <w:t xml:space="preserve"> м.Слов’янськ (ліквідація наслідків збройної агресії РФ)</w:t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2024</w:t>
            </w:r>
          </w:p>
        </w:tc>
        <w:tc>
          <w:tcPr>
            <w:tcW w:w="157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 w:eastAsia="uk-UA"/>
              </w:rPr>
              <w:t>Управління житлово-комунального господарства, громадська організація «Аваліст»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1823,800</w:t>
            </w:r>
          </w:p>
        </w:tc>
        <w:tc>
          <w:tcPr>
            <w:tcW w:w="98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Cs/>
                <w:color w:val="000000"/>
                <w:lang w:val="uk-UA" w:eastAsia="uk-UA"/>
              </w:rPr>
            </w:pPr>
            <w:r>
              <w:rPr>
                <w:bCs/>
                <w:color w:val="000000"/>
                <w:lang w:val="uk-UA" w:eastAsia="uk-UA"/>
              </w:rPr>
            </w:r>
          </w:p>
        </w:tc>
        <w:tc>
          <w:tcPr>
            <w:tcW w:w="1111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Cs/>
                <w:color w:val="000000"/>
                <w:lang w:val="uk-UA" w:eastAsia="uk-UA"/>
              </w:rPr>
            </w:pPr>
            <w:r>
              <w:rPr>
                <w:bCs/>
                <w:color w:val="000000"/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</w:r>
          </w:p>
        </w:tc>
        <w:tc>
          <w:tcPr>
            <w:tcW w:w="98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color w:val="000000"/>
                <w:lang w:val="uk-UA"/>
              </w:rPr>
              <w:t>1823,800</w:t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площа покрівлі, що ремонтується</w:t>
            </w:r>
          </w:p>
        </w:tc>
        <w:tc>
          <w:tcPr>
            <w:tcW w:w="85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540</w:t>
            </w:r>
            <w:r>
              <w:rPr/>
              <w:t xml:space="preserve"> м</w:t>
            </w:r>
            <w:r>
              <w:rPr>
                <w:vertAlign w:val="superscript"/>
              </w:rPr>
              <w:t>2</w:t>
            </w:r>
          </w:p>
        </w:tc>
      </w:tr>
      <w:tr>
        <w:trPr>
          <w:trHeight w:val="437" w:hRule="atLeast"/>
        </w:trPr>
        <w:tc>
          <w:tcPr>
            <w:tcW w:w="1852" w:type="dxa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241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color w:val="000000"/>
                <w:lang w:val="uk-UA"/>
              </w:rPr>
              <w:t xml:space="preserve">Капітальний ремонт (аварійно-відновлювальні роботи) покрівлі гуртожитку по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 xml:space="preserve"> </w:t>
            </w:r>
            <w:r>
              <w:rPr>
                <w:color w:val="000000"/>
                <w:lang w:val="uk-UA"/>
              </w:rPr>
              <w:t xml:space="preserve"> м.Слов’янськ (ліквідація наслідків збройної агресії РФ) </w:t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7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Управління житлово-комунального господарства, громадська організація «Аваліст»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1776,276</w:t>
            </w:r>
          </w:p>
        </w:tc>
        <w:tc>
          <w:tcPr>
            <w:tcW w:w="98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11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8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color w:val="000000"/>
                <w:lang w:val="uk-UA"/>
              </w:rPr>
              <w:t>1776,276</w:t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площа покрівлі, що ремонтується</w:t>
            </w:r>
          </w:p>
        </w:tc>
        <w:tc>
          <w:tcPr>
            <w:tcW w:w="85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550 м</w:t>
            </w:r>
            <w:r>
              <w:rPr>
                <w:color w:val="000000"/>
                <w:sz w:val="20"/>
                <w:szCs w:val="20"/>
                <w:vertAlign w:val="superscript"/>
              </w:rPr>
              <w:t>2</w:t>
            </w:r>
          </w:p>
        </w:tc>
      </w:tr>
      <w:tr>
        <w:trPr>
          <w:trHeight w:val="437" w:hRule="atLeast"/>
        </w:trPr>
        <w:tc>
          <w:tcPr>
            <w:tcW w:w="1852" w:type="dxa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74</w:t>
            </w:r>
          </w:p>
        </w:tc>
        <w:tc>
          <w:tcPr>
            <w:tcW w:w="241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(заміна вікон пошкоджених внаслідок військової агресії рф) </w:t>
            </w:r>
            <w:r>
              <w:rPr>
                <w:color w:val="000000"/>
                <w:lang w:val="uk-UA"/>
              </w:rPr>
              <w:t>(в т.ч. коригування проєктно-кошторисної документації)</w:t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2024</w:t>
            </w:r>
          </w:p>
        </w:tc>
        <w:tc>
          <w:tcPr>
            <w:tcW w:w="157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76,838</w:t>
            </w:r>
          </w:p>
        </w:tc>
        <w:tc>
          <w:tcPr>
            <w:tcW w:w="98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</w:r>
          </w:p>
        </w:tc>
        <w:tc>
          <w:tcPr>
            <w:tcW w:w="1111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76,838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</w:r>
          </w:p>
        </w:tc>
        <w:tc>
          <w:tcPr>
            <w:tcW w:w="98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будівельна готовність об’єкту</w:t>
            </w:r>
          </w:p>
        </w:tc>
        <w:tc>
          <w:tcPr>
            <w:tcW w:w="85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100 %</w:t>
            </w:r>
          </w:p>
        </w:tc>
      </w:tr>
      <w:tr>
        <w:trPr>
          <w:trHeight w:val="437" w:hRule="atLeast"/>
        </w:trPr>
        <w:tc>
          <w:tcPr>
            <w:tcW w:w="1852" w:type="dxa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76</w:t>
            </w:r>
          </w:p>
        </w:tc>
        <w:tc>
          <w:tcPr>
            <w:tcW w:w="241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 xml:space="preserve"> </w:t>
            </w:r>
            <w:r>
              <w:rPr>
                <w:lang w:val="uk-UA"/>
              </w:rPr>
              <w:t xml:space="preserve"> (заміна вікон пошкоджених внаслідок військової агресії рф)</w:t>
            </w:r>
            <w:r>
              <w:rPr>
                <w:color w:val="000000"/>
                <w:lang w:val="uk-UA"/>
              </w:rPr>
              <w:t xml:space="preserve"> (в т.ч. коригування проєктно-кошторисної документації)</w:t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2024</w:t>
            </w:r>
          </w:p>
        </w:tc>
        <w:tc>
          <w:tcPr>
            <w:tcW w:w="157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124,104</w:t>
            </w:r>
          </w:p>
        </w:tc>
        <w:tc>
          <w:tcPr>
            <w:tcW w:w="98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</w:r>
          </w:p>
        </w:tc>
        <w:tc>
          <w:tcPr>
            <w:tcW w:w="1111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124,104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</w:r>
          </w:p>
        </w:tc>
        <w:tc>
          <w:tcPr>
            <w:tcW w:w="98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будівельна готовність об’єкту</w:t>
            </w:r>
          </w:p>
        </w:tc>
        <w:tc>
          <w:tcPr>
            <w:tcW w:w="85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100 %</w:t>
            </w:r>
          </w:p>
        </w:tc>
      </w:tr>
      <w:tr>
        <w:trPr>
          <w:trHeight w:val="437" w:hRule="atLeast"/>
        </w:trPr>
        <w:tc>
          <w:tcPr>
            <w:tcW w:w="1852" w:type="dxa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81</w:t>
            </w:r>
          </w:p>
        </w:tc>
        <w:tc>
          <w:tcPr>
            <w:tcW w:w="241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 xml:space="preserve"> </w:t>
            </w:r>
            <w:r>
              <w:rPr>
                <w:lang w:val="uk-UA"/>
              </w:rPr>
              <w:t xml:space="preserve"> (заміна вікон пошкоджених внаслідок військової агресії рф)</w:t>
            </w:r>
            <w:r>
              <w:rPr>
                <w:color w:val="000000"/>
                <w:lang w:val="uk-UA"/>
              </w:rPr>
              <w:t xml:space="preserve"> (в т.ч. коригування проєктно-кошторисної документації)</w:t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2024</w:t>
            </w:r>
          </w:p>
        </w:tc>
        <w:tc>
          <w:tcPr>
            <w:tcW w:w="157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237,249</w:t>
            </w:r>
          </w:p>
        </w:tc>
        <w:tc>
          <w:tcPr>
            <w:tcW w:w="98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</w:r>
          </w:p>
        </w:tc>
        <w:tc>
          <w:tcPr>
            <w:tcW w:w="1111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237,249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</w:r>
          </w:p>
        </w:tc>
        <w:tc>
          <w:tcPr>
            <w:tcW w:w="98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будівельна готовність об’єкту</w:t>
            </w:r>
          </w:p>
        </w:tc>
        <w:tc>
          <w:tcPr>
            <w:tcW w:w="85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100 %</w:t>
            </w:r>
          </w:p>
        </w:tc>
      </w:tr>
      <w:tr>
        <w:trPr>
          <w:trHeight w:val="437" w:hRule="atLeast"/>
        </w:trPr>
        <w:tc>
          <w:tcPr>
            <w:tcW w:w="1852" w:type="dxa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109</w:t>
            </w:r>
          </w:p>
        </w:tc>
        <w:tc>
          <w:tcPr>
            <w:tcW w:w="241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(аварійно-відновлювальні роботи) покрівлі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 xml:space="preserve"> </w:t>
            </w:r>
            <w:r>
              <w:rPr>
                <w:lang w:val="uk-UA"/>
              </w:rPr>
              <w:t xml:space="preserve">м.Слов’янськ (ліквідація наслідків збройної агресії РФ) (у т.ч. експертиза та розробка проєктно-кошторисної документації) </w:t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7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  <w:r>
              <w:rPr>
                <w:lang w:val="uk-UA"/>
              </w:rPr>
              <w:t>549</w:t>
            </w:r>
            <w:r>
              <w:rPr/>
              <w:t>,634</w:t>
            </w:r>
          </w:p>
        </w:tc>
        <w:tc>
          <w:tcPr>
            <w:tcW w:w="98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</w:r>
          </w:p>
        </w:tc>
        <w:tc>
          <w:tcPr>
            <w:tcW w:w="1111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  <w:r>
              <w:rPr>
                <w:lang w:val="uk-UA"/>
              </w:rPr>
              <w:t>549</w:t>
            </w:r>
            <w:r>
              <w:rPr/>
              <w:t>,634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</w:r>
          </w:p>
        </w:tc>
        <w:tc>
          <w:tcPr>
            <w:tcW w:w="98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площа покрівлі, що ремонтується</w:t>
            </w:r>
          </w:p>
        </w:tc>
        <w:tc>
          <w:tcPr>
            <w:tcW w:w="85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1200 </w:t>
            </w:r>
            <w:r>
              <w:rPr>
                <w:color w:val="000000"/>
                <w:lang w:val="uk-UA"/>
              </w:rPr>
              <w:t>м</w:t>
            </w:r>
            <w:r>
              <w:rPr>
                <w:color w:val="000000"/>
                <w:vertAlign w:val="superscript"/>
                <w:lang w:val="uk-UA"/>
              </w:rPr>
              <w:t>2</w:t>
            </w:r>
          </w:p>
        </w:tc>
      </w:tr>
      <w:tr>
        <w:trPr>
          <w:trHeight w:val="437" w:hRule="atLeast"/>
        </w:trPr>
        <w:tc>
          <w:tcPr>
            <w:tcW w:w="15305" w:type="dxa"/>
            <w:gridSpan w:val="1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262626"/>
                <w:sz w:val="24"/>
                <w:szCs w:val="24"/>
                <w:lang w:val="uk-UA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t xml:space="preserve">2) доповнити </w:t>
            </w:r>
            <w:r>
              <w:rPr>
                <w:sz w:val="24"/>
                <w:szCs w:val="24"/>
                <w:lang w:val="uk-UA"/>
              </w:rPr>
              <w:t>заходами 119, 120, 121, 122, 123 завдання «</w:t>
            </w:r>
            <w:r>
              <w:rPr>
                <w:sz w:val="24"/>
                <w:szCs w:val="24"/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b/>
                <w:bCs/>
                <w:sz w:val="24"/>
                <w:szCs w:val="24"/>
                <w:lang w:val="uk-UA"/>
              </w:rPr>
              <w:t> </w:t>
            </w:r>
            <w:r>
              <w:rPr>
                <w:sz w:val="24"/>
                <w:szCs w:val="24"/>
                <w:lang w:val="uk-UA"/>
              </w:rPr>
              <w:t>»  в такій редакції:</w:t>
            </w:r>
          </w:p>
        </w:tc>
      </w:tr>
      <w:tr>
        <w:trPr>
          <w:trHeight w:val="151" w:hRule="atLeast"/>
        </w:trPr>
        <w:tc>
          <w:tcPr>
            <w:tcW w:w="1852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</w:p>
          <w:p>
            <w:pPr>
              <w:pStyle w:val="Normal"/>
              <w:tabs>
                <w:tab w:val="left" w:pos="750" w:leader="none"/>
                <w:tab w:val="left" w:pos="1425" w:leader="none"/>
              </w:tabs>
              <w:rPr>
                <w:rStyle w:val="Style18"/>
                <w:i w:val="false"/>
                <w:i w:val="false"/>
                <w:lang w:val="ru-RU"/>
              </w:rPr>
            </w:pPr>
            <w:r>
              <w:rPr>
                <w:lang w:val="uk-UA"/>
              </w:rPr>
              <w:tab/>
            </w:r>
          </w:p>
        </w:tc>
        <w:tc>
          <w:tcPr>
            <w:tcW w:w="56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119</w:t>
            </w:r>
          </w:p>
        </w:tc>
        <w:tc>
          <w:tcPr>
            <w:tcW w:w="241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(аварійно-відновлювальні роботи) покрівлі світлових ліхтарів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 xml:space="preserve"> </w:t>
            </w:r>
            <w:r>
              <w:rPr>
                <w:lang w:val="uk-UA"/>
              </w:rPr>
              <w:t xml:space="preserve"> (ліквідація наслідків збройної агресії рф)</w:t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7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1529,785</w:t>
            </w:r>
          </w:p>
        </w:tc>
        <w:tc>
          <w:tcPr>
            <w:tcW w:w="112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7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1529,785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2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85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площа покрівлі, що ремонтується</w:t>
            </w:r>
          </w:p>
        </w:tc>
        <w:tc>
          <w:tcPr>
            <w:tcW w:w="85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1197 м</w:t>
            </w:r>
            <w:r>
              <w:rPr>
                <w:vertAlign w:val="superscript"/>
                <w:lang w:val="uk-UA"/>
              </w:rPr>
              <w:t>2</w:t>
            </w:r>
          </w:p>
        </w:tc>
      </w:tr>
      <w:tr>
        <w:trPr>
          <w:trHeight w:val="151" w:hRule="atLeast"/>
        </w:trPr>
        <w:tc>
          <w:tcPr>
            <w:tcW w:w="1852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120</w:t>
            </w:r>
          </w:p>
        </w:tc>
        <w:tc>
          <w:tcPr>
            <w:tcW w:w="241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Style w:val="Docdata"/>
                <w:color w:val="000000"/>
                <w:lang w:val="uk-UA"/>
              </w:rPr>
              <w:t xml:space="preserve">Технічне обстеження захисної споруди цивільного захисту (цивільної оборони) - </w:t>
            </w:r>
            <w:r>
              <w:rPr>
                <w:rStyle w:val="Docdata"/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rStyle w:val="Docdata"/>
                <w:i/>
                <w:iCs/>
                <w:color w:val="000000"/>
                <w:sz w:val="20"/>
                <w:szCs w:val="20"/>
                <w:lang w:val="uk-UA"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7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14,610</w:t>
            </w:r>
          </w:p>
        </w:tc>
        <w:tc>
          <w:tcPr>
            <w:tcW w:w="112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7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14,610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2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85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кількість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 w:eastAsia="uk-UA"/>
              </w:rPr>
              <w:t>об’єктів</w:t>
            </w:r>
          </w:p>
        </w:tc>
        <w:tc>
          <w:tcPr>
            <w:tcW w:w="85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 w:eastAsia="uk-UA"/>
              </w:rPr>
              <w:t>1 од.</w:t>
            </w:r>
          </w:p>
        </w:tc>
      </w:tr>
      <w:tr>
        <w:trPr>
          <w:trHeight w:val="151" w:hRule="atLeast"/>
        </w:trPr>
        <w:tc>
          <w:tcPr>
            <w:tcW w:w="1852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121</w:t>
            </w:r>
          </w:p>
        </w:tc>
        <w:tc>
          <w:tcPr>
            <w:tcW w:w="241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2362"/>
              <w:spacing w:beforeAutospacing="0" w:before="0" w:afterAutospacing="0" w:after="0"/>
              <w:rPr/>
            </w:pPr>
            <w:r>
              <w:rPr>
                <w:color w:val="000000"/>
                <w:sz w:val="20"/>
                <w:szCs w:val="20"/>
                <w:lang w:val="uk-UA"/>
              </w:rPr>
              <w:t xml:space="preserve">Технічне обстеження захисної споруди цивільного захисту (цивільної оборони) -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7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19,892</w:t>
            </w:r>
          </w:p>
        </w:tc>
        <w:tc>
          <w:tcPr>
            <w:tcW w:w="112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7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19,892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2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85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кількість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 w:eastAsia="uk-UA"/>
              </w:rPr>
              <w:t>об’єктів</w:t>
            </w:r>
          </w:p>
        </w:tc>
        <w:tc>
          <w:tcPr>
            <w:tcW w:w="85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 w:eastAsia="uk-UA"/>
              </w:rPr>
              <w:t>1 од.</w:t>
            </w:r>
          </w:p>
        </w:tc>
      </w:tr>
      <w:tr>
        <w:trPr>
          <w:trHeight w:val="151" w:hRule="atLeast"/>
        </w:trPr>
        <w:tc>
          <w:tcPr>
            <w:tcW w:w="1852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122</w:t>
            </w:r>
          </w:p>
        </w:tc>
        <w:tc>
          <w:tcPr>
            <w:tcW w:w="241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2228"/>
              <w:spacing w:beforeAutospacing="0" w:before="0" w:afterAutospacing="0" w:after="0"/>
              <w:rPr/>
            </w:pPr>
            <w:r>
              <w:rPr>
                <w:color w:val="000000"/>
                <w:sz w:val="20"/>
                <w:szCs w:val="20"/>
                <w:lang w:val="uk-UA"/>
              </w:rPr>
              <w:t xml:space="preserve">Технічне обстеження плити покриття 4-го під’їзду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uk-UA"/>
              </w:rPr>
              <w:t xml:space="preserve"> м.Слов’янськ, пошкодженого внаслідок збройної агресії рф</w:t>
            </w:r>
          </w:p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7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20,000</w:t>
            </w:r>
          </w:p>
        </w:tc>
        <w:tc>
          <w:tcPr>
            <w:tcW w:w="112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7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20,000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2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85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кількість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 w:eastAsia="uk-UA"/>
              </w:rPr>
              <w:t>об’єктів</w:t>
            </w:r>
          </w:p>
        </w:tc>
        <w:tc>
          <w:tcPr>
            <w:tcW w:w="85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 w:eastAsia="uk-UA"/>
              </w:rPr>
              <w:t>1 од.</w:t>
            </w:r>
          </w:p>
        </w:tc>
      </w:tr>
      <w:tr>
        <w:trPr>
          <w:trHeight w:val="151" w:hRule="atLeast"/>
        </w:trPr>
        <w:tc>
          <w:tcPr>
            <w:tcW w:w="1852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123</w:t>
            </w:r>
          </w:p>
        </w:tc>
        <w:tc>
          <w:tcPr>
            <w:tcW w:w="241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lang w:val="uk-UA"/>
              </w:rPr>
            </w:pPr>
            <w:r>
              <w:rPr>
                <w:rStyle w:val="Docdata"/>
                <w:color w:val="000000"/>
                <w:lang w:val="uk-UA"/>
              </w:rPr>
              <w:t xml:space="preserve">Розробка проектно-кошторисної документації по об’єкту: «Капітальний ремонт плити покриття </w:t>
            </w:r>
            <w:r>
              <w:rPr>
                <w:color w:val="000000"/>
                <w:lang w:val="uk-UA"/>
              </w:rPr>
              <w:t xml:space="preserve">4-го під’їзду житлового будинку по 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>(конфіденційна інформація)</w:t>
            </w:r>
            <w:r>
              <w:rPr>
                <w:i/>
                <w:iCs/>
                <w:color w:val="000000"/>
                <w:sz w:val="20"/>
                <w:szCs w:val="20"/>
                <w:lang w:val="uk-UA"/>
              </w:rPr>
              <w:t xml:space="preserve"> </w:t>
            </w:r>
            <w:r>
              <w:rPr>
                <w:color w:val="000000"/>
                <w:lang w:val="uk-UA"/>
              </w:rPr>
              <w:t xml:space="preserve"> м.Слов’янськ, пошкодженого внаслідок збройної агресії рф»</w:t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57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0" w:afterAutospacing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70,000</w:t>
            </w:r>
          </w:p>
        </w:tc>
        <w:tc>
          <w:tcPr>
            <w:tcW w:w="112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7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70,000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2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85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color w:val="000000"/>
                <w:lang w:val="uk-UA"/>
              </w:rPr>
              <w:t>кількість комплектів ПКД/кількість експертних звітів</w:t>
            </w:r>
          </w:p>
        </w:tc>
        <w:tc>
          <w:tcPr>
            <w:tcW w:w="85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color w:val="000000"/>
                <w:lang w:val="uk-UA"/>
              </w:rPr>
              <w:t>4/1 од.</w:t>
            </w:r>
          </w:p>
        </w:tc>
      </w:tr>
      <w:tr>
        <w:trPr>
          <w:trHeight w:val="151" w:hRule="atLeast"/>
        </w:trPr>
        <w:tc>
          <w:tcPr>
            <w:tcW w:w="15305" w:type="dxa"/>
            <w:gridSpan w:val="1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600" w:leader="none"/>
                <w:tab w:val="left" w:pos="750" w:leader="none"/>
              </w:tabs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t xml:space="preserve">3) 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редакції:</w:t>
            </w:r>
          </w:p>
        </w:tc>
      </w:tr>
      <w:tr>
        <w:trPr>
          <w:trHeight w:val="151" w:hRule="atLeast"/>
        </w:trPr>
        <w:tc>
          <w:tcPr>
            <w:tcW w:w="1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41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tabs>
                <w:tab w:val="center" w:pos="1309" w:leader="none"/>
              </w:tabs>
              <w:suppressAutoHyphens w:val="false"/>
              <w:rPr>
                <w:rStyle w:val="Docdata"/>
                <w:bCs/>
                <w:color w:val="000000"/>
                <w:lang w:val="uk-UA"/>
              </w:rPr>
            </w:pPr>
            <w:r>
              <w:rPr>
                <w:rStyle w:val="Docdata"/>
                <w:bCs/>
                <w:color w:val="000000"/>
                <w:lang w:val="uk-UA"/>
              </w:rPr>
              <w:t>Всього:</w:t>
              <w:tab/>
            </w:r>
          </w:p>
        </w:tc>
        <w:tc>
          <w:tcPr>
            <w:tcW w:w="9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</w:r>
          </w:p>
        </w:tc>
        <w:tc>
          <w:tcPr>
            <w:tcW w:w="157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392 032,794</w:t>
            </w:r>
          </w:p>
        </w:tc>
        <w:tc>
          <w:tcPr>
            <w:tcW w:w="112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22 281,340</w:t>
            </w:r>
          </w:p>
        </w:tc>
        <w:tc>
          <w:tcPr>
            <w:tcW w:w="97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11 924,900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332 157,658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</w:t>
            </w:r>
          </w:p>
        </w:tc>
        <w:tc>
          <w:tcPr>
            <w:tcW w:w="112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25 668,886</w:t>
            </w:r>
          </w:p>
        </w:tc>
        <w:tc>
          <w:tcPr>
            <w:tcW w:w="85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85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</w:tr>
    </w:tbl>
    <w:p>
      <w:pPr>
        <w:pStyle w:val="16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6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6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6"/>
        <w:jc w:val="both"/>
        <w:rPr/>
      </w:pPr>
      <w:r>
        <w:rPr>
          <w:b w:val="false"/>
          <w:bCs w:val="false"/>
          <w:color w:val="00000A"/>
          <w:sz w:val="24"/>
          <w:szCs w:val="24"/>
        </w:rPr>
        <w:t>мобілізаційної та оборонної роботи</w:t>
      </w:r>
      <w:r>
        <w:rPr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Слов’янської міської ВА</w:t>
        <w:tab/>
        <w:t xml:space="preserve">                                                Валерій НОВАК</w:t>
      </w:r>
      <w:r>
        <w:rPr>
          <w:sz w:val="20"/>
          <w:szCs w:val="20"/>
          <w:lang w:eastAsia="uk-UA"/>
        </w:rPr>
        <w:t xml:space="preserve"> </w:t>
      </w:r>
    </w:p>
    <w:sectPr>
      <w:headerReference w:type="default" r:id="rId2"/>
      <w:type w:val="nextPage"/>
      <w:pgSz w:orient="landscape" w:w="16838" w:h="11906"/>
      <w:pgMar w:left="1134" w:right="1134" w:header="709" w:top="1701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8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uiPriority="0" w:semiHidden="0" w:unhideWhenUsed="0"/>
    <w:lsdException w:name="caption" w:locked="1" w:uiPriority="0" w:semiHidden="0" w:unhideWhenUsed="0" w:qFormat="1"/>
    <w:lsdException w:name="List Number" w:locked="1" w:uiPriority="0" w:semiHidden="0" w:unhideWhenUsed="0"/>
    <w:lsdException w:name="List 4" w:locked="1" w:uiPriority="0" w:semiHidden="0" w:unhideWhenUsed="0"/>
    <w:lsdException w:name="List 5" w:locked="1" w:uiPriority="0" w:semiHidden="0" w:unhideWhenUsed="0"/>
    <w:lsdException w:name="Title" w:locked="1" w:uiPriority="0" w:semiHidden="0" w:unhideWhenUsed="0" w:qFormat="1"/>
    <w:lsdException w:name="Default Paragraph Font" w:uiPriority="1"/>
    <w:lsdException w:name="Body Text" w:locked="1" w:uiPriority="0" w:semiHidden="0" w:unhideWhenUsed="0"/>
    <w:lsdException w:name="Subtitle" w:locked="1" w:uiPriority="0" w:semiHidden="0" w:unhideWhenUsed="0" w:qFormat="1"/>
    <w:lsdException w:name="Salutation" w:locked="1" w:uiPriority="0" w:semiHidden="0" w:unhideWhenUsed="0"/>
    <w:lsdException w:name="Date" w:locked="1" w:uiPriority="0" w:semiHidden="0" w:unhideWhenUsed="0"/>
    <w:lsdException w:name="Body Text First Indent" w:locked="1" w:uiPriority="0" w:semiHidden="0" w:unhideWhenUsed="0"/>
    <w:lsdException w:name="Hyperlink" w:locked="1" w:uiPriority="0" w:semiHidden="0" w:unhideWhenUsed="0"/>
    <w:lsdException w:name="Strong" w:locked="1" w:uiPriority="0" w:semiHidden="0" w:unhideWhenUsed="0" w:qFormat="1"/>
    <w:lsdException w:name="Emphasis" w:locked="1" w:uiPriority="0" w:semiHidden="0" w:unhideWhenUsed="0" w:qFormat="1"/>
    <w:lsdException w:name="Normal (Web)" w:locked="1" w:semiHidden="0" w:unhideWhenUsed="0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link w:val="10"/>
    <w:uiPriority w:val="99"/>
    <w:qFormat/>
    <w:rsid w:val="007d1319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Normal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link w:val="30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uiPriority w:val="9"/>
    <w:qFormat/>
    <w:rsid w:val="00967594"/>
    <w:rPr>
      <w:rFonts w:ascii="Cambria" w:hAnsi="Cambria" w:eastAsia="Times New Roman" w:cs="Times New Roman"/>
      <w:b/>
      <w:bCs/>
      <w:sz w:val="32"/>
      <w:szCs w:val="32"/>
      <w:lang w:val="en-US" w:eastAsia="zh-CN"/>
    </w:rPr>
  </w:style>
  <w:style w:type="character" w:styleId="21" w:customStyle="1">
    <w:name w:val="Заголовок 2 Знак"/>
    <w:link w:val="2"/>
    <w:uiPriority w:val="9"/>
    <w:semiHidden/>
    <w:qFormat/>
    <w:rsid w:val="00967594"/>
    <w:rPr>
      <w:rFonts w:ascii="Cambria" w:hAnsi="Cambria" w:eastAsia="Times New Roman" w:cs="Times New Roman"/>
      <w:b/>
      <w:bCs/>
      <w:i/>
      <w:iCs/>
      <w:sz w:val="28"/>
      <w:szCs w:val="28"/>
      <w:lang w:val="en-US" w:eastAsia="zh-CN"/>
    </w:rPr>
  </w:style>
  <w:style w:type="character" w:styleId="31" w:customStyle="1">
    <w:name w:val="Заголовок 3 Знак"/>
    <w:link w:val="3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2" w:customStyle="1">
    <w:name w:val="Основной шрифт абзаца1"/>
    <w:uiPriority w:val="99"/>
    <w:qFormat/>
    <w:rsid w:val="007d1319"/>
    <w:rPr/>
  </w:style>
  <w:style w:type="character" w:styleId="22" w:customStyle="1">
    <w:name w:val="Основной шрифт абзаца2"/>
    <w:uiPriority w:val="99"/>
    <w:qFormat/>
    <w:rsid w:val="007d1319"/>
    <w:rPr/>
  </w:style>
  <w:style w:type="character" w:styleId="Style11" w:customStyle="1">
    <w:name w:val="Основний текст Знак"/>
    <w:link w:val="a3"/>
    <w:uiPriority w:val="99"/>
    <w:qFormat/>
    <w:locked/>
    <w:rsid w:val="00f769e3"/>
    <w:rPr>
      <w:lang w:val="en-US" w:eastAsia="zh-CN"/>
    </w:rPr>
  </w:style>
  <w:style w:type="character" w:styleId="Style12" w:customStyle="1">
    <w:name w:val="Підзаголовок Знак"/>
    <w:link w:val="a8"/>
    <w:uiPriority w:val="11"/>
    <w:qFormat/>
    <w:rsid w:val="00967594"/>
    <w:rPr>
      <w:rFonts w:ascii="Cambria" w:hAnsi="Cambria" w:eastAsia="Times New Roman" w:cs="Times New Roman"/>
      <w:sz w:val="24"/>
      <w:szCs w:val="24"/>
      <w:lang w:val="en-US" w:eastAsia="zh-CN"/>
    </w:rPr>
  </w:style>
  <w:style w:type="character" w:styleId="Style13" w:customStyle="1">
    <w:name w:val="Назва Знак"/>
    <w:link w:val="aa"/>
    <w:uiPriority w:val="10"/>
    <w:qFormat/>
    <w:rsid w:val="00967594"/>
    <w:rPr>
      <w:rFonts w:ascii="Cambria" w:hAnsi="Cambria" w:eastAsia="Times New Roman" w:cs="Times New Roman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Style14" w:customStyle="1">
    <w:name w:val="Верхній колонтитул Знак"/>
    <w:link w:val="ad"/>
    <w:uiPriority w:val="99"/>
    <w:qFormat/>
    <w:locked/>
    <w:rsid w:val="00451fc6"/>
    <w:rPr>
      <w:sz w:val="24"/>
      <w:szCs w:val="24"/>
      <w:lang w:val="x-none" w:eastAsia="zh-CN"/>
    </w:rPr>
  </w:style>
  <w:style w:type="character" w:styleId="Style15" w:customStyle="1">
    <w:name w:val="Текст у виносці Знак"/>
    <w:link w:val="af0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6">
    <w:name w:val="Гіперпосилання"/>
    <w:uiPriority w:val="99"/>
    <w:rsid w:val="007c5d61"/>
    <w:rPr>
      <w:color w:val="0000FF"/>
      <w:u w:val="single"/>
    </w:rPr>
  </w:style>
  <w:style w:type="character" w:styleId="Strong">
    <w:name w:val="Strong"/>
    <w:uiPriority w:val="99"/>
    <w:qFormat/>
    <w:rsid w:val="000d1aed"/>
    <w:rPr>
      <w:b/>
      <w:bCs/>
    </w:rPr>
  </w:style>
  <w:style w:type="character" w:styleId="Style17" w:customStyle="1">
    <w:name w:val="Нижній колонтитул Знак"/>
    <w:link w:val="af5"/>
    <w:uiPriority w:val="99"/>
    <w:qFormat/>
    <w:locked/>
    <w:rsid w:val="00b532b2"/>
    <w:rPr>
      <w:sz w:val="18"/>
      <w:szCs w:val="18"/>
      <w:lang w:val="en-US" w:eastAsia="zh-CN"/>
    </w:rPr>
  </w:style>
  <w:style w:type="character" w:styleId="23" w:customStyle="1">
    <w:name w:val="Основний текст з відступом 2 Знак"/>
    <w:link w:val="23"/>
    <w:uiPriority w:val="99"/>
    <w:qFormat/>
    <w:locked/>
    <w:rsid w:val="00203050"/>
    <w:rPr>
      <w:sz w:val="18"/>
      <w:szCs w:val="18"/>
      <w:lang w:val="en-US" w:eastAsia="zh-CN"/>
    </w:rPr>
  </w:style>
  <w:style w:type="character" w:styleId="32" w:customStyle="1">
    <w:name w:val="Основний текст 3 Знак"/>
    <w:link w:val="31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24" w:customStyle="1">
    <w:name w:val="Основний текст 2 Знак"/>
    <w:link w:val="25"/>
    <w:uiPriority w:val="99"/>
    <w:semiHidden/>
    <w:qFormat/>
    <w:rsid w:val="00967594"/>
    <w:rPr>
      <w:sz w:val="20"/>
      <w:szCs w:val="20"/>
      <w:lang w:val="en-US" w:eastAsia="zh-CN"/>
    </w:rPr>
  </w:style>
  <w:style w:type="character" w:styleId="ListLabel22" w:customStyle="1">
    <w:name w:val="ListLabel 22"/>
    <w:uiPriority w:val="99"/>
    <w:qFormat/>
    <w:rsid w:val="00317920"/>
    <w:rPr/>
  </w:style>
  <w:style w:type="character" w:styleId="Docdata" w:customStyle="1">
    <w:name w:val="docdata"/>
    <w:qFormat/>
    <w:rsid w:val="000647fe"/>
    <w:rPr/>
  </w:style>
  <w:style w:type="character" w:styleId="Style18">
    <w:name w:val="Виділення"/>
    <w:qFormat/>
    <w:locked/>
    <w:rsid w:val="00d9455c"/>
    <w:rPr>
      <w:i/>
      <w:iCs/>
    </w:rPr>
  </w:style>
  <w:style w:type="character" w:styleId="ListLabel23">
    <w:name w:val="ListLabel 23"/>
    <w:qFormat/>
    <w:rPr>
      <w:rFonts w:eastAsia="Times New Roman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Wingdings"/>
    </w:rPr>
  </w:style>
  <w:style w:type="character" w:styleId="ListLabel26">
    <w:name w:val="ListLabel 26"/>
    <w:qFormat/>
    <w:rPr>
      <w:rFonts w:cs="Symbol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Wingdings"/>
    </w:rPr>
  </w:style>
  <w:style w:type="character" w:styleId="ListLabel29">
    <w:name w:val="ListLabel 29"/>
    <w:qFormat/>
    <w:rPr>
      <w:rFonts w:cs="Symbol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Wingdings"/>
    </w:rPr>
  </w:style>
  <w:style w:type="character" w:styleId="ListLabel32">
    <w:name w:val="ListLabel 32"/>
    <w:qFormat/>
    <w:rPr>
      <w:rFonts w:eastAsia="Times New Roman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Wingdings"/>
    </w:rPr>
  </w:style>
  <w:style w:type="character" w:styleId="ListLabel35">
    <w:name w:val="ListLabel 35"/>
    <w:qFormat/>
    <w:rPr>
      <w:rFonts w:cs="Symbol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Wingdings"/>
    </w:rPr>
  </w:style>
  <w:style w:type="character" w:styleId="ListLabel38">
    <w:name w:val="ListLabel 38"/>
    <w:qFormat/>
    <w:rPr>
      <w:rFonts w:cs="Symbol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Wingdings"/>
    </w:rPr>
  </w:style>
  <w:style w:type="character" w:styleId="ListLabel41">
    <w:name w:val="ListLabel 41"/>
    <w:qFormat/>
    <w:rPr>
      <w:rFonts w:eastAsia="Times New Roman"/>
      <w:b w:val="false"/>
      <w:bCs w:val="false"/>
      <w:sz w:val="20"/>
      <w:szCs w:val="20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Wingdings"/>
    </w:rPr>
  </w:style>
  <w:style w:type="character" w:styleId="ListLabel44">
    <w:name w:val="ListLabel 44"/>
    <w:qFormat/>
    <w:rPr>
      <w:rFonts w:cs="Symbol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Wingdings"/>
    </w:rPr>
  </w:style>
  <w:style w:type="character" w:styleId="ListLabel47">
    <w:name w:val="ListLabel 47"/>
    <w:qFormat/>
    <w:rPr>
      <w:rFonts w:cs="Symbol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Wingdings"/>
    </w:rPr>
  </w:style>
  <w:style w:type="character" w:styleId="ListLabel50">
    <w:name w:val="ListLabel 50"/>
    <w:qFormat/>
    <w:rPr>
      <w:rFonts w:eastAsia="Times New Roman"/>
      <w:b w:val="false"/>
      <w:bCs w:val="false"/>
      <w:sz w:val="20"/>
      <w:szCs w:val="20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Wingdings"/>
    </w:rPr>
  </w:style>
  <w:style w:type="character" w:styleId="ListLabel53">
    <w:name w:val="ListLabel 53"/>
    <w:qFormat/>
    <w:rPr>
      <w:rFonts w:cs="Symbol"/>
    </w:rPr>
  </w:style>
  <w:style w:type="character" w:styleId="ListLabel54">
    <w:name w:val="ListLabel 54"/>
    <w:qFormat/>
    <w:rPr>
      <w:rFonts w:cs="Courier New"/>
    </w:rPr>
  </w:style>
  <w:style w:type="character" w:styleId="ListLabel55">
    <w:name w:val="ListLabel 55"/>
    <w:qFormat/>
    <w:rPr>
      <w:rFonts w:cs="Wingdings"/>
    </w:rPr>
  </w:style>
  <w:style w:type="character" w:styleId="ListLabel56">
    <w:name w:val="ListLabel 56"/>
    <w:qFormat/>
    <w:rPr>
      <w:rFonts w:cs="Symbol"/>
    </w:rPr>
  </w:style>
  <w:style w:type="character" w:styleId="ListLabel57">
    <w:name w:val="ListLabel 57"/>
    <w:qFormat/>
    <w:rPr>
      <w:rFonts w:cs="Courier New"/>
    </w:rPr>
  </w:style>
  <w:style w:type="character" w:styleId="ListLabel58">
    <w:name w:val="ListLabel 58"/>
    <w:qFormat/>
    <w:rPr>
      <w:rFonts w:cs="Wingdings"/>
    </w:rPr>
  </w:style>
  <w:style w:type="character" w:styleId="ListLabel59">
    <w:name w:val="ListLabel 59"/>
    <w:qFormat/>
    <w:rPr>
      <w:rFonts w:eastAsia="Times New Roman"/>
      <w:color w:val="000000"/>
      <w:sz w:val="20"/>
      <w:szCs w:val="20"/>
    </w:rPr>
  </w:style>
  <w:style w:type="character" w:styleId="ListLabel60">
    <w:name w:val="ListLabel 60"/>
    <w:qFormat/>
    <w:rPr>
      <w:rFonts w:cs="Courier New"/>
    </w:rPr>
  </w:style>
  <w:style w:type="character" w:styleId="ListLabel61">
    <w:name w:val="ListLabel 61"/>
    <w:qFormat/>
    <w:rPr>
      <w:rFonts w:cs="Wingdings"/>
    </w:rPr>
  </w:style>
  <w:style w:type="character" w:styleId="ListLabel62">
    <w:name w:val="ListLabel 62"/>
    <w:qFormat/>
    <w:rPr>
      <w:rFonts w:cs="Symbol"/>
    </w:rPr>
  </w:style>
  <w:style w:type="character" w:styleId="ListLabel63">
    <w:name w:val="ListLabel 63"/>
    <w:qFormat/>
    <w:rPr>
      <w:rFonts w:cs="Courier New"/>
    </w:rPr>
  </w:style>
  <w:style w:type="character" w:styleId="ListLabel64">
    <w:name w:val="ListLabel 64"/>
    <w:qFormat/>
    <w:rPr>
      <w:rFonts w:cs="Wingdings"/>
    </w:rPr>
  </w:style>
  <w:style w:type="character" w:styleId="ListLabel65">
    <w:name w:val="ListLabel 65"/>
    <w:qFormat/>
    <w:rPr>
      <w:rFonts w:cs="Symbol"/>
    </w:rPr>
  </w:style>
  <w:style w:type="character" w:styleId="ListLabel66">
    <w:name w:val="ListLabel 66"/>
    <w:qFormat/>
    <w:rPr>
      <w:rFonts w:cs="Courier New"/>
    </w:rPr>
  </w:style>
  <w:style w:type="character" w:styleId="ListLabel67">
    <w:name w:val="ListLabel 67"/>
    <w:qFormat/>
    <w:rPr>
      <w:rFonts w:cs="Wingdings"/>
    </w:rPr>
  </w:style>
  <w:style w:type="character" w:styleId="ListLabel68">
    <w:name w:val="ListLabel 68"/>
    <w:qFormat/>
    <w:rPr>
      <w:rFonts w:eastAsia="Times New Roman"/>
    </w:rPr>
  </w:style>
  <w:style w:type="character" w:styleId="ListLabel69">
    <w:name w:val="ListLabel 69"/>
    <w:qFormat/>
    <w:rPr>
      <w:rFonts w:cs="Courier New"/>
    </w:rPr>
  </w:style>
  <w:style w:type="character" w:styleId="ListLabel70">
    <w:name w:val="ListLabel 70"/>
    <w:qFormat/>
    <w:rPr>
      <w:rFonts w:cs="Wingdings"/>
    </w:rPr>
  </w:style>
  <w:style w:type="character" w:styleId="ListLabel71">
    <w:name w:val="ListLabel 71"/>
    <w:qFormat/>
    <w:rPr>
      <w:rFonts w:cs="Symbol"/>
    </w:rPr>
  </w:style>
  <w:style w:type="character" w:styleId="ListLabel72">
    <w:name w:val="ListLabel 72"/>
    <w:qFormat/>
    <w:rPr>
      <w:rFonts w:cs="Courier New"/>
    </w:rPr>
  </w:style>
  <w:style w:type="character" w:styleId="ListLabel73">
    <w:name w:val="ListLabel 73"/>
    <w:qFormat/>
    <w:rPr>
      <w:rFonts w:cs="Wingdings"/>
    </w:rPr>
  </w:style>
  <w:style w:type="character" w:styleId="ListLabel74">
    <w:name w:val="ListLabel 74"/>
    <w:qFormat/>
    <w:rPr>
      <w:rFonts w:cs="Symbol"/>
    </w:rPr>
  </w:style>
  <w:style w:type="character" w:styleId="ListLabel75">
    <w:name w:val="ListLabel 75"/>
    <w:qFormat/>
    <w:rPr>
      <w:rFonts w:cs="Courier New"/>
    </w:rPr>
  </w:style>
  <w:style w:type="character" w:styleId="ListLabel76">
    <w:name w:val="ListLabel 76"/>
    <w:qFormat/>
    <w:rPr>
      <w:rFonts w:cs="Wingdings"/>
    </w:rPr>
  </w:style>
  <w:style w:type="character" w:styleId="ListLabel77">
    <w:name w:val="ListLabel 77"/>
    <w:qFormat/>
    <w:rPr>
      <w:rFonts w:eastAsia="Times New Roman"/>
    </w:rPr>
  </w:style>
  <w:style w:type="character" w:styleId="ListLabel78">
    <w:name w:val="ListLabel 78"/>
    <w:qFormat/>
    <w:rPr>
      <w:rFonts w:cs="Courier New"/>
    </w:rPr>
  </w:style>
  <w:style w:type="character" w:styleId="ListLabel79">
    <w:name w:val="ListLabel 79"/>
    <w:qFormat/>
    <w:rPr>
      <w:rFonts w:cs="Wingdings"/>
    </w:rPr>
  </w:style>
  <w:style w:type="character" w:styleId="ListLabel80">
    <w:name w:val="ListLabel 80"/>
    <w:qFormat/>
    <w:rPr>
      <w:rFonts w:cs="Symbol"/>
    </w:rPr>
  </w:style>
  <w:style w:type="character" w:styleId="ListLabel81">
    <w:name w:val="ListLabel 81"/>
    <w:qFormat/>
    <w:rPr>
      <w:rFonts w:cs="Courier New"/>
    </w:rPr>
  </w:style>
  <w:style w:type="character" w:styleId="ListLabel82">
    <w:name w:val="ListLabel 82"/>
    <w:qFormat/>
    <w:rPr>
      <w:rFonts w:cs="Wingdings"/>
    </w:rPr>
  </w:style>
  <w:style w:type="character" w:styleId="ListLabel83">
    <w:name w:val="ListLabel 83"/>
    <w:qFormat/>
    <w:rPr>
      <w:rFonts w:cs="Symbol"/>
    </w:rPr>
  </w:style>
  <w:style w:type="character" w:styleId="ListLabel84">
    <w:name w:val="ListLabel 84"/>
    <w:qFormat/>
    <w:rPr>
      <w:rFonts w:cs="Courier New"/>
    </w:rPr>
  </w:style>
  <w:style w:type="character" w:styleId="ListLabel85">
    <w:name w:val="ListLabel 85"/>
    <w:qFormat/>
    <w:rPr>
      <w:rFonts w:cs="Wingdings"/>
    </w:rPr>
  </w:style>
  <w:style w:type="character" w:styleId="ListLabel86">
    <w:name w:val="ListLabel 86"/>
    <w:qFormat/>
    <w:rPr>
      <w:rFonts w:eastAsia="Times New Roman"/>
      <w:sz w:val="20"/>
      <w:szCs w:val="20"/>
    </w:rPr>
  </w:style>
  <w:style w:type="character" w:styleId="ListLabel87">
    <w:name w:val="ListLabel 87"/>
    <w:qFormat/>
    <w:rPr>
      <w:rFonts w:cs="Courier New"/>
    </w:rPr>
  </w:style>
  <w:style w:type="character" w:styleId="ListLabel88">
    <w:name w:val="ListLabel 88"/>
    <w:qFormat/>
    <w:rPr>
      <w:rFonts w:cs="Wingdings"/>
    </w:rPr>
  </w:style>
  <w:style w:type="character" w:styleId="ListLabel89">
    <w:name w:val="ListLabel 89"/>
    <w:qFormat/>
    <w:rPr>
      <w:rFonts w:cs="Symbol"/>
    </w:rPr>
  </w:style>
  <w:style w:type="character" w:styleId="ListLabel90">
    <w:name w:val="ListLabel 90"/>
    <w:qFormat/>
    <w:rPr>
      <w:rFonts w:cs="Courier New"/>
    </w:rPr>
  </w:style>
  <w:style w:type="character" w:styleId="ListLabel91">
    <w:name w:val="ListLabel 91"/>
    <w:qFormat/>
    <w:rPr>
      <w:rFonts w:cs="Wingdings"/>
    </w:rPr>
  </w:style>
  <w:style w:type="character" w:styleId="ListLabel92">
    <w:name w:val="ListLabel 92"/>
    <w:qFormat/>
    <w:rPr>
      <w:rFonts w:cs="Symbol"/>
    </w:rPr>
  </w:style>
  <w:style w:type="character" w:styleId="ListLabel93">
    <w:name w:val="ListLabel 93"/>
    <w:qFormat/>
    <w:rPr>
      <w:rFonts w:cs="Courier New"/>
    </w:rPr>
  </w:style>
  <w:style w:type="character" w:styleId="ListLabel94">
    <w:name w:val="ListLabel 94"/>
    <w:qFormat/>
    <w:rPr>
      <w:rFonts w:cs="Wingdings"/>
    </w:rPr>
  </w:style>
  <w:style w:type="paragraph" w:styleId="Style19">
    <w:name w:val="Заголовок"/>
    <w:basedOn w:val="Normal"/>
    <w:next w:val="Style20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0">
    <w:name w:val="Body Text"/>
    <w:basedOn w:val="Normal"/>
    <w:link w:val="a4"/>
    <w:uiPriority w:val="99"/>
    <w:rsid w:val="007d1319"/>
    <w:pPr>
      <w:spacing w:lineRule="auto" w:line="288" w:before="0" w:after="140"/>
    </w:pPr>
    <w:rPr/>
  </w:style>
  <w:style w:type="paragraph" w:styleId="Style21">
    <w:name w:val="List"/>
    <w:basedOn w:val="Style20"/>
    <w:uiPriority w:val="99"/>
    <w:rsid w:val="007d1319"/>
    <w:pPr/>
    <w:rPr/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Lucida Sans"/>
    </w:rPr>
  </w:style>
  <w:style w:type="paragraph" w:styleId="13" w:customStyle="1">
    <w:name w:val="Заголовок1"/>
    <w:basedOn w:val="Normal"/>
    <w:uiPriority w:val="99"/>
    <w:qFormat/>
    <w:rsid w:val="007d1319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aption">
    <w:name w:val="caption"/>
    <w:basedOn w:val="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25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4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5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24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25">
    <w:name w:val="Subtitle"/>
    <w:basedOn w:val="13"/>
    <w:link w:val="a9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Style26">
    <w:name w:val="Title"/>
    <w:basedOn w:val="13"/>
    <w:link w:val="ab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7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8">
    <w:name w:val="Header"/>
    <w:basedOn w:val="Normal"/>
    <w:link w:val="ae"/>
    <w:uiPriority w:val="99"/>
    <w:rsid w:val="00451fc6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link w:val="af1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9">
    <w:name w:val="Footer"/>
    <w:basedOn w:val="Normal"/>
    <w:link w:val="af6"/>
    <w:uiPriority w:val="99"/>
    <w:rsid w:val="00b532b2"/>
    <w:pPr>
      <w:tabs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24"/>
    <w:uiPriority w:val="99"/>
    <w:qFormat/>
    <w:rsid w:val="00203050"/>
    <w:pPr>
      <w:spacing w:lineRule="auto" w:line="480" w:before="0" w:after="120"/>
      <w:ind w:left="283" w:hanging="0"/>
    </w:pPr>
    <w:rPr/>
  </w:style>
  <w:style w:type="paragraph" w:styleId="Style30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32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6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26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31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paragraph" w:styleId="2274" w:customStyle="1">
    <w:name w:val="2274"/>
    <w:basedOn w:val="Normal"/>
    <w:qFormat/>
    <w:rsid w:val="0008505b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2092" w:customStyle="1">
    <w:name w:val="2092"/>
    <w:basedOn w:val="Normal"/>
    <w:uiPriority w:val="99"/>
    <w:qFormat/>
    <w:rsid w:val="0008505b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TableParagraph" w:customStyle="1">
    <w:name w:val="Table Paragraph"/>
    <w:basedOn w:val="Normal"/>
    <w:uiPriority w:val="1"/>
    <w:qFormat/>
    <w:rsid w:val="00d9455c"/>
    <w:pPr>
      <w:widowControl w:val="false"/>
      <w:suppressAutoHyphens w:val="false"/>
    </w:pPr>
    <w:rPr>
      <w:sz w:val="22"/>
      <w:szCs w:val="22"/>
      <w:lang w:val="uk-UA" w:eastAsia="en-US"/>
    </w:rPr>
  </w:style>
  <w:style w:type="paragraph" w:styleId="2362" w:customStyle="1">
    <w:name w:val="2362"/>
    <w:basedOn w:val="Normal"/>
    <w:qFormat/>
    <w:rsid w:val="0037709d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2228" w:customStyle="1">
    <w:name w:val="2228"/>
    <w:basedOn w:val="Normal"/>
    <w:qFormat/>
    <w:rsid w:val="0037709d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uiPriority w:val="99"/>
    <w:rsid w:val="003d0ec9"/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LibreOffice/5.1.6.2$Windows_X86_64 LibreOffice_project/07ac168c60a517dba0f0d7bc7540f5afa45f0909</Application>
  <Pages>5</Pages>
  <Words>745</Words>
  <Characters>5560</Characters>
  <CharactersWithSpaces>6252</CharactersWithSpaces>
  <Paragraphs>212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2024-09-19T05:29:00Z</dcterms:created>
  <dc:creator>Работа</dc:creator>
  <dc:description/>
  <dc:language>uk-UA</dc:language>
  <cp:lastModifiedBy/>
  <cp:lastPrinted>2021-12-15T06:53:00Z</cp:lastPrinted>
  <dcterms:modified xsi:type="dcterms:W3CDTF">2024-09-23T09:27:14Z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