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10" w:rsidRPr="00E55D34" w:rsidRDefault="00EC6310" w:rsidP="00EC6310">
      <w:pPr>
        <w:pageBreakBefore/>
        <w:spacing w:line="240" w:lineRule="auto"/>
        <w:ind w:leftChars="3779" w:left="31680" w:firstLine="31680"/>
        <w:rPr>
          <w:color w:val="000000"/>
          <w:lang w:val="uk-UA"/>
        </w:rPr>
      </w:pPr>
      <w:r w:rsidRPr="00E55D34">
        <w:rPr>
          <w:color w:val="000000"/>
          <w:lang w:val="uk-UA"/>
        </w:rPr>
        <w:t>ЗАТВЕРДЖЕНО</w:t>
      </w:r>
    </w:p>
    <w:p w:rsidR="00EC6310" w:rsidRPr="00E55D34" w:rsidRDefault="00EC6310" w:rsidP="005945A8">
      <w:pPr>
        <w:spacing w:line="240" w:lineRule="auto"/>
        <w:ind w:leftChars="3779" w:left="31680" w:firstLine="31680"/>
        <w:rPr>
          <w:color w:val="000000"/>
          <w:lang w:val="uk-UA"/>
        </w:rPr>
      </w:pPr>
      <w:r>
        <w:rPr>
          <w:color w:val="000000"/>
          <w:lang w:val="uk-UA"/>
        </w:rPr>
        <w:t>Р</w:t>
      </w:r>
      <w:r w:rsidRPr="00E55D34">
        <w:rPr>
          <w:color w:val="000000"/>
          <w:lang w:val="uk-UA"/>
        </w:rPr>
        <w:t xml:space="preserve">озпорядження начальника </w:t>
      </w:r>
    </w:p>
    <w:p w:rsidR="00EC6310" w:rsidRPr="00E55D34" w:rsidRDefault="00EC6310" w:rsidP="005945A8">
      <w:pPr>
        <w:spacing w:line="240" w:lineRule="auto"/>
        <w:ind w:leftChars="3779" w:left="31680" w:firstLine="31680"/>
        <w:rPr>
          <w:color w:val="000000"/>
          <w:lang w:val="uk-UA"/>
        </w:rPr>
      </w:pPr>
      <w:r w:rsidRPr="00E55D34">
        <w:rPr>
          <w:color w:val="000000"/>
          <w:lang w:val="uk-UA"/>
        </w:rPr>
        <w:t xml:space="preserve">Слов’янської міської військової адміністрації </w:t>
      </w:r>
    </w:p>
    <w:p w:rsidR="00EC6310" w:rsidRPr="00E55D34" w:rsidRDefault="00EC6310" w:rsidP="005945A8">
      <w:pPr>
        <w:spacing w:line="240" w:lineRule="auto"/>
        <w:ind w:leftChars="3779" w:left="31680" w:firstLine="31680"/>
        <w:rPr>
          <w:color w:val="000000"/>
          <w:lang w:val="uk-UA"/>
        </w:rPr>
      </w:pPr>
      <w:r>
        <w:rPr>
          <w:color w:val="000000"/>
          <w:lang w:val="uk-UA"/>
        </w:rPr>
        <w:t>08.02.2024</w:t>
      </w:r>
      <w:r w:rsidRPr="00E55D34">
        <w:rPr>
          <w:color w:val="000000"/>
          <w:lang w:val="uk-UA"/>
        </w:rPr>
        <w:t xml:space="preserve">  №  </w:t>
      </w:r>
      <w:r>
        <w:rPr>
          <w:color w:val="000000"/>
          <w:lang w:val="uk-UA"/>
        </w:rPr>
        <w:t>306</w:t>
      </w:r>
      <w:r w:rsidRPr="00E55D34">
        <w:rPr>
          <w:color w:val="000000"/>
          <w:lang w:val="uk-UA"/>
        </w:rPr>
        <w:t xml:space="preserve"> </w:t>
      </w:r>
    </w:p>
    <w:p w:rsidR="00EC6310" w:rsidRPr="00E55D34" w:rsidRDefault="00EC6310" w:rsidP="005945A8">
      <w:pPr>
        <w:spacing w:line="240" w:lineRule="auto"/>
        <w:ind w:left="31680" w:firstLine="31680"/>
        <w:rPr>
          <w:color w:val="000000"/>
          <w:lang w:val="uk-UA"/>
        </w:rPr>
      </w:pPr>
      <w:r w:rsidRPr="00E55D34">
        <w:rPr>
          <w:color w:val="000000"/>
          <w:lang w:val="uk-UA"/>
        </w:rPr>
        <w:t xml:space="preserve">        </w:t>
      </w:r>
    </w:p>
    <w:p w:rsidR="00EC6310" w:rsidRPr="00E55D34" w:rsidRDefault="00EC6310" w:rsidP="005945A8">
      <w:pPr>
        <w:spacing w:line="240" w:lineRule="auto"/>
        <w:ind w:left="31680" w:firstLine="31680"/>
        <w:jc w:val="center"/>
        <w:rPr>
          <w:color w:val="000000"/>
          <w:lang w:val="uk-UA"/>
        </w:rPr>
      </w:pPr>
      <w:r w:rsidRPr="00E55D34">
        <w:rPr>
          <w:b/>
          <w:bCs/>
          <w:color w:val="000000"/>
          <w:lang w:val="uk-UA"/>
        </w:rPr>
        <w:t xml:space="preserve">План заходів щодо наповнення бюджету Слов’янської міської територіальної громади, </w:t>
      </w:r>
    </w:p>
    <w:p w:rsidR="00EC6310" w:rsidRDefault="00EC6310" w:rsidP="005945A8">
      <w:pPr>
        <w:spacing w:line="240" w:lineRule="auto"/>
        <w:ind w:left="31680" w:firstLine="31680"/>
        <w:jc w:val="center"/>
        <w:rPr>
          <w:b/>
          <w:bCs/>
          <w:color w:val="000000"/>
          <w:lang w:val="uk-UA"/>
        </w:rPr>
      </w:pPr>
      <w:r w:rsidRPr="00E55D34">
        <w:rPr>
          <w:b/>
          <w:bCs/>
          <w:color w:val="000000"/>
          <w:lang w:val="uk-UA"/>
        </w:rPr>
        <w:t>ефективного та раціонального використання бюджетних коштів у 2024 році</w:t>
      </w:r>
    </w:p>
    <w:p w:rsidR="00EC6310" w:rsidRPr="00E55D34" w:rsidRDefault="00EC6310" w:rsidP="005945A8">
      <w:pPr>
        <w:spacing w:line="240" w:lineRule="auto"/>
        <w:ind w:left="31680" w:firstLine="31680"/>
        <w:jc w:val="center"/>
        <w:rPr>
          <w:color w:val="000000"/>
          <w:lang w:val="uk-UA"/>
        </w:rPr>
      </w:pPr>
    </w:p>
    <w:p w:rsidR="00EC6310" w:rsidRPr="00E55D34" w:rsidRDefault="00EC6310" w:rsidP="005945A8">
      <w:pPr>
        <w:spacing w:line="240" w:lineRule="auto"/>
        <w:ind w:left="31680" w:firstLine="31680"/>
        <w:rPr>
          <w:color w:val="000000"/>
          <w:lang w:val="uk-UA"/>
        </w:rPr>
      </w:pPr>
    </w:p>
    <w:tbl>
      <w:tblPr>
        <w:tblW w:w="15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7326"/>
        <w:gridCol w:w="4140"/>
        <w:gridCol w:w="1620"/>
        <w:gridCol w:w="1440"/>
      </w:tblGrid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Зміст заходу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Відповідальні виконавці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Термін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виконання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Додаткові надходження до бюджету/ очікувана економія,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тис. </w:t>
            </w:r>
            <w:r>
              <w:rPr>
                <w:color w:val="000000"/>
                <w:sz w:val="20"/>
                <w:szCs w:val="20"/>
                <w:lang w:val="uk-UA"/>
              </w:rPr>
              <w:t>грн.</w:t>
            </w:r>
          </w:p>
        </w:tc>
      </w:tr>
      <w:tr w:rsidR="00EC6310" w:rsidRPr="00E55D34">
        <w:tc>
          <w:tcPr>
            <w:tcW w:w="15321" w:type="dxa"/>
            <w:gridSpan w:val="5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b/>
                <w:bCs/>
                <w:color w:val="000000"/>
                <w:sz w:val="20"/>
                <w:szCs w:val="20"/>
                <w:lang w:val="uk-UA"/>
              </w:rPr>
              <w:t>1. Щодо забезпечення виконання планових показників доходів та збільшення надходжень до бюджету</w:t>
            </w: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відповідно до законодавства постійного контролю за правильністю, своєчасністю надходжень до бюджету Слов’янської міської територіальної громади (далі – бюджету громади) податків, зборів та інших обов’язкових платежів з урахуванням впливу наслідків бойових дій, що ведуться на території області, та особливостей, визначених актами законодавства у зв’язку з введенням в Україні воєнного стану, а також ведення обліку таких платежів у розрізі платників з метою повернення коштів, помилково або надміру зарахованих до бюджету громади.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Державної казначейської служби України у м. Слов’янську Донецької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Відділ раціонального використання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земельних ресурсів,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містобудування та архітектури, головні розпорядники коштів бюджету 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системного моніторингу виконання планових показників надходжень до бюджету громади з урахуванням наявної податкової бази та соціально-економічної ситуації та аналіз факторів, що впливають на стан виконання затверджених показників доходів бюджету громади, в тому числі в розрізі платників податків.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Відділ раціонального використання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земельних ресурсів,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містобудування та архітектури 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в межах повноважень моніторингу погашення заборгованості із заробітної плати на підприємствах, установах і організаціях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1.4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роботи по погашенню податкового боргу платників податків зі сплати податків, зборів та інших обов’язкових платежів до бюджету громади з урахуванням вимог чинного законодавства.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Відділ раціонального використання земельних ресурсів,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містобудування та архітектури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33DA0">
              <w:rPr>
                <w:color w:val="000000"/>
                <w:sz w:val="20"/>
                <w:szCs w:val="20"/>
                <w:lang w:val="uk-UA"/>
              </w:rPr>
              <w:t>5 750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,0</w:t>
            </w: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1.5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роз’яснювальної роботи з керівниками підприємств, з власниками малого та середнього бізнесу щодо недопущення фактів «тіньової за</w:t>
            </w:r>
            <w:r>
              <w:rPr>
                <w:color w:val="000000"/>
                <w:sz w:val="20"/>
                <w:szCs w:val="20"/>
                <w:lang w:val="uk-UA"/>
              </w:rPr>
              <w:t>й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нятості» та випадків порушень законодавства про оплату праці, особливо в частині виплати заробітної плати у розмірі, меншому за встановлений законодавством мінімальний розмір, своєчасного утримання та перерахування податку на доходи фізичних осіб до бюджету громади.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інвестиційного розвитку,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Головне управління Пенсійного фонду України в Донецькій області (за згодою)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1.6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Проведення роботи щодо сплати (перерахування) платниками до бюджету громади податків за місцезнаходженням юридичних осіб, відокремлених підрозділів юридичних осіб, а також місцем розташування (реєстрації) їх підрозділів, рухомого та нерухомого майна, об’єктів оподаткування або об’єктів, які пов’язані з оподаткуванням або через які провадиться діяльність. 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1.7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роботи щодо сплати до бюджету громади єдиного податку фізичними особами – підприємцями – платниками єдиного податку першої та другої груп, які фактично провадять господарську діяльність та мають можливість сплачувати податок, відповідно до чинного законодавства.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інвестиційного розвитку,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1.8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заходів протидії тіньовому виробництву та обігу підакцизних товарів шляхом забезпечення роботи адміністративної комісії по стягненню адміністративних штрафів за ч.2 ст.156 КУпАП.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shd w:val="clear" w:color="auto" w:fill="FBFBFB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Голова і члени адміністративної комісії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shd w:val="clear" w:color="auto" w:fill="FBFBFB"/>
                <w:lang w:val="uk-UA"/>
              </w:rPr>
              <w:t xml:space="preserve"> 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350,0</w:t>
            </w: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1.9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заходів щодо залучення до бюджету громади власних надходжень бюджетних установ за рахунок благодійних внесків, грантів та дарунків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1.10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аналізу впливу змін, внесених до чинного законодавства, на надходження до бюджету громади з метою виявлення та залучення додаткових резервів збільшення доходів.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інвестиційного розвитку,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 (за згодою),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Відділ раціонального використання земельних ресурсів,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власності,</w:t>
            </w:r>
          </w:p>
          <w:p w:rsidR="00EC6310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архітектури та містобудування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15321" w:type="dxa"/>
            <w:gridSpan w:val="5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2. Щодо економного та  раціонального використання бюджетних коштів, здійснення видатків </w:t>
            </w: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бюджету </w:t>
            </w:r>
            <w:r w:rsidRPr="00441AFC">
              <w:rPr>
                <w:b/>
                <w:bCs/>
                <w:color w:val="000000"/>
                <w:sz w:val="20"/>
                <w:szCs w:val="20"/>
                <w:lang w:val="uk-UA"/>
              </w:rPr>
              <w:t>у межах наявного фінансового ресурсу</w:t>
            </w: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2.1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фінансування видатків загального фонду бюджету громади в межах фактичних надходжень доходів та міжбюджетних трансфертів у першочерговому порядку по захищених видатках із застосуванням режиму економії та з урахуванням заходів з оптимізації видатків, в тому числі із забезпеченням своєчасної та у повному обсязі виплати заробітної плати працівникам бюджетної сфери із нарахуваннями на неї (враховуючи особливості, визначені актами законодавства у зв’язку з введенням в Україні воєнного стану).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 разі виникнення заборгованості з виплати заробітної плати, стипендій, пенсій, інших соціальних виплат і оплати енергоносіїв та комунальних послуг, спрямовувати не менш 90 відсотків наявних коштів загального фонду бюджету громади на їх погашення.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 період дії правового режиму воєнного стану при здійсненні фінансування видатків бюджету громади пропонуємо враховувати черговість здійснення платежів, встановлену Порядком виконання повноважень Державною казначейською службою в особливому режимі в умовах воєнного стану, затвердженим постановою Кабінету Міністрів України від 09 червня 2021 року № 590.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2.2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в установленому порядку внесення змін до бюджет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у громади 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з метою спрямування :</w:t>
            </w:r>
          </w:p>
          <w:p w:rsidR="00EC6310" w:rsidRPr="00441AFC" w:rsidRDefault="00EC6310" w:rsidP="00EC6310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вільних залишків коштів бюджету громади та залишків коштів спеціального фонду бюджету (крім власних надходжень бюджетних установ, субвенцій з інших бюджетів, а також коштів місцевих внутрішніх та зовнішніх запозичень), які утворилися на кінець 2023 року, виключно на напрями, передбачені статтею 46 Закону України «Про Державний бюджет України на 2024 рік»;</w:t>
            </w:r>
          </w:p>
          <w:p w:rsidR="00EC6310" w:rsidRPr="00441AFC" w:rsidRDefault="00EC6310" w:rsidP="00EC6310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понадпланових надходжень до бюджет</w:t>
            </w:r>
            <w:r>
              <w:rPr>
                <w:color w:val="000000"/>
                <w:sz w:val="20"/>
                <w:szCs w:val="20"/>
                <w:lang w:val="uk-UA"/>
              </w:rPr>
              <w:t>у громади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 (враховуючи особливості, визначені актами законодавства у зв’язку з введенням в Україні воєнного стану) на забезпечення виплати заробітної плати працівникам бюджетних установ, оплати комунальних послуг та енергоносіїв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 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rPr>
          <w:trHeight w:val="1433"/>
        </w:trPr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2.3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спрямування надпланових обсягів власних надходжень бюджетних установ  у першочерговому порядку на погашення заборгованості з</w:t>
            </w:r>
            <w:r>
              <w:rPr>
                <w:color w:val="000000"/>
                <w:sz w:val="20"/>
                <w:szCs w:val="20"/>
                <w:lang w:val="uk-UA"/>
              </w:rPr>
              <w:t>: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- оплати праці, нарахувань на заробітну плату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- комунальних послуг та енергоносіїв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- стипендій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 разі відсутності такої заборгованості спрямувати 50% коштів на заходи, що здійснюються за рахунок відповідних надходжень, і 50% – на заходи, необхідні для виконання основних функцій, але не забезпечені коштами загального фонду за відповідною бюджетною програмою.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 разі відсутності у достатніх обсягах коштів освітньої субвенції з державного бюджету місцевим бюджетам на оплату праці з нарахуваннями педагогічних працівників закладів та установ освіти, що визначені у статті 103²  Бюджетного кодексу України, розглядати питання спрямування коштів бюджет</w:t>
            </w:r>
            <w:r>
              <w:rPr>
                <w:color w:val="000000"/>
                <w:sz w:val="20"/>
                <w:szCs w:val="20"/>
                <w:lang w:val="uk-UA"/>
              </w:rPr>
              <w:t>у громади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 на покриття таких витрат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rPr>
          <w:trHeight w:val="897"/>
        </w:trPr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2.4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Недопущення збільшення чисельності працівників підпорядкованих установ (крім перерозподілу штатної чисельності в межах одного типу закладів та головного розпорядника бюджетних коштів, не допускаючи збільшення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загальної чисельності, крім випадків, передбачених законодавством)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2.5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аналізу використання автомобільного транспорту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(крім спеціалізованого) керівниками бюджетних установ з метою оптимізації видатків на їх утримання.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2.6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здійснення розпорядниками (одержувачами) бюджетних коштів попередньої оплати товарів, робіт і послуг, що закуповуються за бюджетні кошти, та відповідних платежів з дотриманням постанови Кабінету Міністрів України від 04 грудня 2019 року № 1070 «Деякі питання здійснення розпорядниками (одержувачами) бюджетних коштів попередньої оплати товарів, робіт і послуг, що закуповуються за бюджетні кошти»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Головні розпорядники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 у період дії карантину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2.7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прозорість обґрунтування очікуваної вартості предмета закупівлі, розміру бюджетного призначення, технічних та якісних характеристик предмета закупівлі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Головні розпорядники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2.8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Забезпечення здійснення контролю за своєчасним та повним перерахуванням головним розпорядникам бюджетних коштів субвенцій на виконання програм і спільних заходів згідно із укладеними договорами. Забезпечення головними розпорядникам бюджетних коштів своєчасного освоєння коштів субвенцій та повернення залишків до відповідного бюджету (у разі необхідності)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2.9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роз’яснювальної роботи з розпорядниками (одержувачами) бюджетних коштів з питань економії, дотримання суворої фінансово-бюджетної дисципліни та запобігання порушенням, що призводять до втрат фінансових ресурсів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2000,0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0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заходів з енергозбереження і забезпечення зменшення витрат на оплату комунальних послуг та енергоносіїв (із визначенням показників результативності у натуральних та вартісних показниках), з урахуванням функціонування відповідних установ у період дії правового режиму воєнного стану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Головні розпорядники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1000,0</w:t>
            </w: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Встановлення та здійснення нарахування підвищень до посадових окладів (ставок), надбавок, доплат, допомог, винагород, премій, інших заохочувальних виплат працівникам установ бюджетної сфери виключно в межах фонду оплати праці, затвердженого в загальному та спеціальному фондах бюджету громади, або власних доходів, отриманих від провадження господарської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діяльності відповідно до чинного законодавства (враховуючи особливості, визначені актами законодавства у зв’язку з введенням в Україні воєнного стану), за умови забезпечення у повному обсязі за рахунок бюджетних коштів обов’язкових виплат із заробітної плати працівникам, інших соціальних виплат, у тому числі стипендій, та видатків на проведення розрахунків за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комунальні послуги та енергоносії всіх бюджетних установ, що належать до сфери управління відповідного розпорядника бюджетних коштів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 бюджету,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Забезпечення налагодження взаємодії з органами Державної казначейської служби України в частині проведення фінансування та перерахування коштів </w:t>
            </w:r>
            <w:r>
              <w:rPr>
                <w:color w:val="000000"/>
                <w:sz w:val="20"/>
                <w:szCs w:val="20"/>
                <w:lang w:val="uk-UA"/>
              </w:rPr>
              <w:t>громади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, у тому числі із застосуванням системи дистанційного обслуговування «Клієнт казначейства - Казначейство»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Проведення роботи щодо :</w:t>
            </w:r>
          </w:p>
          <w:p w:rsidR="00EC6310" w:rsidRPr="00441AFC" w:rsidRDefault="00EC6310" w:rsidP="00EC6310">
            <w:pPr>
              <w:numPr>
                <w:ilvl w:val="0"/>
                <w:numId w:val="1"/>
              </w:num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зменшення кредиторської заборгованості, в тому числі шляхом її реструктуризації та списання такої, термін позовної давності якої минув,</w:t>
            </w:r>
          </w:p>
          <w:p w:rsidR="00EC6310" w:rsidRPr="00441AFC" w:rsidRDefault="00EC6310" w:rsidP="00EC6310">
            <w:pPr>
              <w:numPr>
                <w:ilvl w:val="0"/>
                <w:numId w:val="1"/>
              </w:num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зменшення дебіторської заборгованості бюджетних установ, що фінансуються  бюджет</w:t>
            </w:r>
            <w:r>
              <w:rPr>
                <w:color w:val="000000"/>
                <w:sz w:val="20"/>
                <w:szCs w:val="20"/>
                <w:lang w:val="uk-UA"/>
              </w:rPr>
              <w:t>у громади,</w:t>
            </w:r>
          </w:p>
          <w:p w:rsidR="00EC6310" w:rsidRPr="00441AFC" w:rsidRDefault="00EC6310" w:rsidP="00EC6310">
            <w:pPr>
              <w:numPr>
                <w:ilvl w:val="0"/>
                <w:numId w:val="1"/>
              </w:num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претензійно-позовної роботи з надавачами товарів, робіт і послуг  за умови невиконання ними договірних зобов’язань.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аналізу ефективності затверджених місцевих програм та за його результатами визначитися щодо: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- скасування програм, бюджетне фінансування яких є недоцільним;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- призупинення реалізації тих програм, фінансування яких не є першочерговим;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- внесення до діючих програм в частині скорочення або виключення з них  заходів, які не є першочерговими.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5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Заслуховування на нарадах головних розпорядників бюджетних коштів питань щодо дотримання фінансово-бюджетної дисципліни (у разі необхідності)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6238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6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моніторинг</w:t>
            </w:r>
            <w:r>
              <w:rPr>
                <w:color w:val="000000"/>
                <w:sz w:val="20"/>
                <w:szCs w:val="20"/>
                <w:lang w:val="uk-UA"/>
              </w:rPr>
              <w:t>у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 функціонування/забезпечення діяльності закладів бюджетної сфери, а також підприємств комунальної власності, що дотуються з бюджету громади, у період дії правового режиму воєнного стану, з метою упорядкування структури та штатної чисельності працівників зазначених закладів та підприємств з дотриманням норм чинного законодавства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власності,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EC6310" w:rsidRPr="00E55D34">
        <w:tc>
          <w:tcPr>
            <w:tcW w:w="795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2.1</w:t>
            </w:r>
            <w:r>
              <w:rPr>
                <w:color w:val="000000"/>
                <w:sz w:val="20"/>
                <w:szCs w:val="20"/>
                <w:lang w:val="uk-UA"/>
              </w:rPr>
              <w:t>7</w:t>
            </w:r>
          </w:p>
        </w:tc>
        <w:tc>
          <w:tcPr>
            <w:tcW w:w="7326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Здійснення удосконалення мережі бюджетних установ та упорядкування штатної чисельності працівників</w:t>
            </w:r>
          </w:p>
        </w:tc>
        <w:tc>
          <w:tcPr>
            <w:tcW w:w="41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Головні розпорядники</w:t>
            </w:r>
          </w:p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коштів бюджету</w:t>
            </w:r>
          </w:p>
        </w:tc>
        <w:tc>
          <w:tcPr>
            <w:tcW w:w="162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1440" w:type="dxa"/>
          </w:tcPr>
          <w:p w:rsidR="00EC6310" w:rsidRPr="00441AFC" w:rsidRDefault="00EC6310" w:rsidP="00EC6310">
            <w:pPr>
              <w:spacing w:line="240" w:lineRule="auto"/>
              <w:ind w:left="31680" w:firstLine="3168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500,0</w:t>
            </w:r>
          </w:p>
        </w:tc>
      </w:tr>
    </w:tbl>
    <w:p w:rsidR="00EC6310" w:rsidRPr="00E55D34" w:rsidRDefault="00EC6310" w:rsidP="00EC6310">
      <w:pPr>
        <w:spacing w:line="240" w:lineRule="auto"/>
        <w:ind w:left="31680" w:firstLine="31680"/>
        <w:rPr>
          <w:color w:val="000000"/>
          <w:sz w:val="28"/>
          <w:szCs w:val="28"/>
          <w:lang w:val="uk-UA"/>
        </w:rPr>
      </w:pPr>
    </w:p>
    <w:p w:rsidR="00EC6310" w:rsidRPr="00E55D34" w:rsidRDefault="00EC6310" w:rsidP="005945A8">
      <w:pPr>
        <w:spacing w:line="240" w:lineRule="auto"/>
        <w:ind w:left="31680" w:firstLine="31680"/>
        <w:rPr>
          <w:color w:val="000000"/>
          <w:sz w:val="28"/>
          <w:szCs w:val="28"/>
          <w:lang w:val="uk-UA"/>
        </w:rPr>
      </w:pPr>
    </w:p>
    <w:p w:rsidR="00EC6310" w:rsidRPr="00E55D34" w:rsidRDefault="00EC6310" w:rsidP="005945A8">
      <w:pPr>
        <w:spacing w:line="240" w:lineRule="auto"/>
        <w:ind w:left="31680" w:firstLine="31680"/>
        <w:rPr>
          <w:color w:val="000000"/>
          <w:sz w:val="28"/>
          <w:szCs w:val="28"/>
          <w:lang w:val="uk-UA"/>
        </w:rPr>
      </w:pPr>
    </w:p>
    <w:p w:rsidR="00EC6310" w:rsidRPr="00E55D34" w:rsidRDefault="00EC6310" w:rsidP="005945A8">
      <w:pPr>
        <w:spacing w:line="240" w:lineRule="auto"/>
        <w:ind w:left="31680" w:firstLine="31680"/>
        <w:rPr>
          <w:color w:val="000000"/>
          <w:lang w:val="uk-UA"/>
        </w:rPr>
      </w:pPr>
    </w:p>
    <w:p w:rsidR="00EC6310" w:rsidRPr="00E55D34" w:rsidRDefault="00EC6310" w:rsidP="005945A8">
      <w:pPr>
        <w:spacing w:line="240" w:lineRule="auto"/>
        <w:ind w:left="31680" w:firstLine="31680"/>
        <w:jc w:val="both"/>
        <w:rPr>
          <w:color w:val="000000"/>
          <w:lang w:val="uk-UA"/>
        </w:rPr>
      </w:pPr>
      <w:r w:rsidRPr="00E55D34">
        <w:rPr>
          <w:color w:val="000000"/>
          <w:lang w:val="uk-UA"/>
        </w:rPr>
        <w:t>В.о. начальника фінансового управління                                                                                           Валентина ШАУЛЬСЬКА</w:t>
      </w:r>
    </w:p>
    <w:p w:rsidR="00EC6310" w:rsidRPr="00E55D34" w:rsidRDefault="00EC6310" w:rsidP="005945A8">
      <w:pPr>
        <w:spacing w:line="240" w:lineRule="auto"/>
        <w:ind w:left="31680" w:firstLine="31680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</w:p>
    <w:sectPr w:rsidR="00EC6310" w:rsidRPr="00E55D34" w:rsidSect="005945A8">
      <w:headerReference w:type="default" r:id="rId7"/>
      <w:pgSz w:w="16838" w:h="11906" w:orient="landscape"/>
      <w:pgMar w:top="1701" w:right="1247" w:bottom="567" w:left="1134" w:header="1134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310" w:rsidRDefault="00EC6310" w:rsidP="00CB0170">
      <w:pPr>
        <w:spacing w:line="240" w:lineRule="auto"/>
        <w:ind w:left="31680" w:firstLine="31680"/>
      </w:pPr>
      <w:r>
        <w:separator/>
      </w:r>
    </w:p>
  </w:endnote>
  <w:endnote w:type="continuationSeparator" w:id="0">
    <w:p w:rsidR="00EC6310" w:rsidRDefault="00EC6310" w:rsidP="00CB0170">
      <w:pPr>
        <w:spacing w:line="240" w:lineRule="auto"/>
        <w:ind w:left="31680" w:firstLine="316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310" w:rsidRDefault="00EC6310" w:rsidP="00CB0170">
      <w:pPr>
        <w:spacing w:line="240" w:lineRule="auto"/>
        <w:ind w:left="31680" w:firstLine="31680"/>
      </w:pPr>
      <w:r>
        <w:separator/>
      </w:r>
    </w:p>
  </w:footnote>
  <w:footnote w:type="continuationSeparator" w:id="0">
    <w:p w:rsidR="00EC6310" w:rsidRDefault="00EC6310" w:rsidP="00CB0170">
      <w:pPr>
        <w:spacing w:line="240" w:lineRule="auto"/>
        <w:ind w:left="31680" w:firstLine="316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310" w:rsidRDefault="00EC6310" w:rsidP="00CB0170">
    <w:pPr>
      <w:tabs>
        <w:tab w:val="center" w:pos="4677"/>
        <w:tab w:val="right" w:pos="9355"/>
      </w:tabs>
      <w:spacing w:line="240" w:lineRule="auto"/>
      <w:ind w:left="31680" w:firstLine="31680"/>
      <w:rPr>
        <w:color w:val="000000"/>
      </w:rPr>
    </w:pPr>
    <w:r>
      <w:rPr>
        <w:noProof/>
        <w:lang w:val="uk-UA" w:eastAsia="uk-UA"/>
      </w:rPr>
      <w:pict>
        <v:rect id="Прямоугольник 1" o:spid="_x0000_s2049" style="position:absolute;left:0;text-align:left;margin-left:0;margin-top:0;width:7.7pt;height:2.35pt;z-index:251659264;visibility:visible;v-text-anchor:middle">
          <v:stroke startarrowwidth="narrow" startarrowlength="short" endarrowwidth="narrow" endarrowlength="short" endcap="square"/>
          <v:textbox inset="2.53958mm,2.53958mm,2.53958mm,2.53958mm">
            <w:txbxContent>
              <w:p w:rsidR="00EC6310" w:rsidRDefault="00EC6310" w:rsidP="005945A8">
                <w:pPr>
                  <w:spacing w:line="240" w:lineRule="auto"/>
                  <w:ind w:left="31680" w:firstLine="31680"/>
                </w:pPr>
              </w:p>
            </w:txbxContent>
          </v:textbox>
          <w10:wrap type="square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42D"/>
    <w:multiLevelType w:val="hybridMultilevel"/>
    <w:tmpl w:val="14489612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">
    <w:nsid w:val="38136D8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2">
    <w:nsid w:val="516C6F46"/>
    <w:multiLevelType w:val="multilevel"/>
    <w:tmpl w:val="4AC49934"/>
    <w:lvl w:ilvl="0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20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92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64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36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08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80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52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240" w:hanging="360"/>
      </w:pPr>
      <w:rPr>
        <w:rFonts w:ascii="Noto Sans Symbols" w:eastAsia="Times New Roman" w:hAnsi="Noto Sans Symbols"/>
        <w:vertAlign w:val="baseline"/>
      </w:rPr>
    </w:lvl>
  </w:abstractNum>
  <w:abstractNum w:abstractNumId="3">
    <w:nsid w:val="54185569"/>
    <w:multiLevelType w:val="hybridMultilevel"/>
    <w:tmpl w:val="D8A82150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4">
    <w:nsid w:val="59456CD3"/>
    <w:multiLevelType w:val="hybridMultilevel"/>
    <w:tmpl w:val="FED01A6E"/>
    <w:lvl w:ilvl="0" w:tplc="0422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5">
    <w:nsid w:val="5CA1643A"/>
    <w:multiLevelType w:val="hybridMultilevel"/>
    <w:tmpl w:val="A0EC307A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6">
    <w:nsid w:val="62F060B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7">
    <w:nsid w:val="69E366EA"/>
    <w:multiLevelType w:val="hybridMultilevel"/>
    <w:tmpl w:val="DB46B00A"/>
    <w:lvl w:ilvl="0" w:tplc="04220001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8">
    <w:nsid w:val="7BFB1EBE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F2D"/>
    <w:rsid w:val="001117C2"/>
    <w:rsid w:val="002222C1"/>
    <w:rsid w:val="002C0C49"/>
    <w:rsid w:val="003B155E"/>
    <w:rsid w:val="0042213D"/>
    <w:rsid w:val="00427196"/>
    <w:rsid w:val="00433DA0"/>
    <w:rsid w:val="00441AFC"/>
    <w:rsid w:val="00487201"/>
    <w:rsid w:val="00495180"/>
    <w:rsid w:val="00583D4C"/>
    <w:rsid w:val="005945A8"/>
    <w:rsid w:val="00651A90"/>
    <w:rsid w:val="00655605"/>
    <w:rsid w:val="006C7FD6"/>
    <w:rsid w:val="0075307C"/>
    <w:rsid w:val="007E6468"/>
    <w:rsid w:val="007F62FB"/>
    <w:rsid w:val="00826DCE"/>
    <w:rsid w:val="00833505"/>
    <w:rsid w:val="008A29E2"/>
    <w:rsid w:val="008A3599"/>
    <w:rsid w:val="00AB702A"/>
    <w:rsid w:val="00AE1AB4"/>
    <w:rsid w:val="00B54068"/>
    <w:rsid w:val="00B6396A"/>
    <w:rsid w:val="00B94DB6"/>
    <w:rsid w:val="00BA5BAA"/>
    <w:rsid w:val="00BC6230"/>
    <w:rsid w:val="00C36805"/>
    <w:rsid w:val="00C44C1B"/>
    <w:rsid w:val="00C506D7"/>
    <w:rsid w:val="00C51F2D"/>
    <w:rsid w:val="00CB0170"/>
    <w:rsid w:val="00D643D2"/>
    <w:rsid w:val="00E55D34"/>
    <w:rsid w:val="00E57A53"/>
    <w:rsid w:val="00E62384"/>
    <w:rsid w:val="00E712C6"/>
    <w:rsid w:val="00EC6310"/>
    <w:rsid w:val="00ED75E1"/>
    <w:rsid w:val="00EE6712"/>
    <w:rsid w:val="00EF7A2B"/>
    <w:rsid w:val="00F0317C"/>
    <w:rsid w:val="00F2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  <w:lang w:val="ru-RU"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zh-CN"/>
    </w:rPr>
  </w:style>
  <w:style w:type="paragraph" w:customStyle="1" w:styleId="a">
    <w:name w:val="Знак"/>
    <w:basedOn w:val="Normal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Pr>
      <w:color w:val="0000FF"/>
      <w:w w:val="100"/>
      <w:u w:val="single"/>
      <w:effect w:val="none"/>
      <w:vertAlign w:val="baseline"/>
      <w:em w:val="none"/>
    </w:rPr>
  </w:style>
  <w:style w:type="paragraph" w:customStyle="1" w:styleId="1">
    <w:name w:val="Знак Знак1"/>
    <w:basedOn w:val="Normal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Strong">
    <w:name w:val="Strong"/>
    <w:basedOn w:val="DefaultParagraphFont"/>
    <w:uiPriority w:val="99"/>
    <w:qFormat/>
    <w:rPr>
      <w:b/>
      <w:bCs/>
      <w:w w:val="100"/>
      <w:effect w:val="none"/>
      <w:vertAlign w:val="baseline"/>
      <w:em w:val="none"/>
    </w:rPr>
  </w:style>
  <w:style w:type="paragraph" w:customStyle="1" w:styleId="Default">
    <w:name w:val="Default"/>
    <w:uiPriority w:val="99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a0">
    <w:name w:val="Стиль"/>
    <w:basedOn w:val="TableNormal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712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8433</Words>
  <Characters>4808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Робота</dc:creator>
  <cp:keywords/>
  <dc:description/>
  <cp:lastModifiedBy>Робота</cp:lastModifiedBy>
  <cp:revision>2</cp:revision>
  <dcterms:created xsi:type="dcterms:W3CDTF">2024-02-08T12:03:00Z</dcterms:created>
  <dcterms:modified xsi:type="dcterms:W3CDTF">2024-02-08T12:03:00Z</dcterms:modified>
</cp:coreProperties>
</file>