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6120" w:hanging="0"/>
        <w:jc w:val="both"/>
        <w:rPr>
          <w:color w:val="FF0000"/>
          <w:sz w:val="24"/>
          <w:szCs w:val="24"/>
          <w:lang w:val="uk-UA"/>
        </w:rPr>
      </w:pPr>
      <w:r>
        <w:rPr>
          <w:color w:val="FF0000"/>
          <w:sz w:val="24"/>
          <w:szCs w:val="24"/>
          <w:lang w:val="uk-UA"/>
        </w:rPr>
      </w:r>
    </w:p>
    <w:p>
      <w:pPr>
        <w:pStyle w:val="Normal"/>
        <w:ind w:left="6120" w:hanging="0"/>
        <w:jc w:val="both"/>
        <w:rPr>
          <w:sz w:val="24"/>
          <w:szCs w:val="24"/>
          <w:lang w:val="uk-UA"/>
        </w:rPr>
      </w:pPr>
      <w:r>
        <w:rPr>
          <w:sz w:val="24"/>
          <w:szCs w:val="24"/>
          <w:lang w:val="uk-UA"/>
        </w:rPr>
        <w:t>ЗАТВЕРДЖЕНО</w:t>
      </w:r>
    </w:p>
    <w:p>
      <w:pPr>
        <w:pStyle w:val="Normal"/>
        <w:ind w:left="6120" w:hanging="0"/>
        <w:jc w:val="both"/>
        <w:rPr>
          <w:sz w:val="24"/>
          <w:szCs w:val="24"/>
          <w:lang w:val="uk-UA"/>
        </w:rPr>
      </w:pPr>
      <w:r>
        <w:rPr>
          <w:sz w:val="24"/>
          <w:szCs w:val="24"/>
          <w:lang w:val="uk-UA"/>
        </w:rPr>
        <w:t>Розпорядження начальника</w:t>
      </w:r>
    </w:p>
    <w:p>
      <w:pPr>
        <w:pStyle w:val="Normal"/>
        <w:ind w:left="6120" w:hanging="0"/>
        <w:jc w:val="both"/>
        <w:rPr>
          <w:sz w:val="24"/>
          <w:szCs w:val="24"/>
          <w:lang w:val="uk-UA"/>
        </w:rPr>
      </w:pPr>
      <w:r>
        <w:rPr>
          <w:sz w:val="24"/>
          <w:szCs w:val="24"/>
          <w:lang w:val="uk-UA"/>
        </w:rPr>
        <w:t>Слов’янської міської військової адміністрації</w:t>
      </w:r>
    </w:p>
    <w:p>
      <w:pPr>
        <w:pStyle w:val="Normal"/>
        <w:ind w:left="6120" w:hanging="0"/>
        <w:jc w:val="both"/>
        <w:rPr>
          <w:sz w:val="24"/>
          <w:szCs w:val="24"/>
          <w:lang w:val="uk-UA"/>
        </w:rPr>
      </w:pPr>
      <w:r>
        <w:rPr>
          <w:sz w:val="24"/>
          <w:szCs w:val="24"/>
          <w:lang w:val="uk-UA"/>
        </w:rPr>
        <w:t>27.11.2023  № 2243</w:t>
      </w:r>
    </w:p>
    <w:p>
      <w:pPr>
        <w:pStyle w:val="Normal"/>
        <w:jc w:val="both"/>
        <w:rPr>
          <w:i/>
          <w:i/>
          <w:iCs/>
          <w:sz w:val="24"/>
          <w:szCs w:val="24"/>
          <w:lang w:val="uk-UA"/>
        </w:rPr>
      </w:pPr>
      <w:r>
        <w:rPr>
          <w:i/>
          <w:iCs/>
          <w:sz w:val="24"/>
          <w:szCs w:val="24"/>
          <w:lang w:val="uk-UA"/>
        </w:rPr>
      </w:r>
    </w:p>
    <w:p>
      <w:pPr>
        <w:pStyle w:val="Normal"/>
        <w:jc w:val="center"/>
        <w:rPr>
          <w:b/>
          <w:b/>
          <w:bCs/>
          <w:sz w:val="28"/>
          <w:szCs w:val="28"/>
          <w:lang w:val="uk-UA"/>
        </w:rPr>
      </w:pPr>
      <w:r>
        <w:rPr>
          <w:b/>
          <w:bCs/>
          <w:sz w:val="28"/>
          <w:szCs w:val="28"/>
          <w:lang w:val="uk-UA"/>
        </w:rPr>
        <w:t>ПАСПОРТ</w:t>
      </w:r>
    </w:p>
    <w:p>
      <w:pPr>
        <w:pStyle w:val="Normal"/>
        <w:jc w:val="center"/>
        <w:rPr>
          <w:sz w:val="24"/>
          <w:szCs w:val="24"/>
          <w:lang w:val="uk-UA"/>
        </w:rPr>
      </w:pPr>
      <w:r>
        <w:rPr>
          <w:sz w:val="24"/>
          <w:szCs w:val="24"/>
          <w:lang w:val="uk-UA"/>
        </w:rPr>
        <w:t>Програми із запобігання та ліквідації надзвичайних ситуацій, наслідків стихійного лиха та воєнних дій на території Слов’янської міської територіальної громади на 2024 рік</w:t>
      </w:r>
    </w:p>
    <w:p>
      <w:pPr>
        <w:pStyle w:val="Normal"/>
        <w:jc w:val="center"/>
        <w:rPr>
          <w:lang w:val="uk-UA"/>
        </w:rPr>
      </w:pPr>
      <w:r>
        <w:rPr>
          <w:lang w:val="uk-UA"/>
        </w:rPr>
      </w:r>
    </w:p>
    <w:tbl>
      <w:tblPr>
        <w:tblW w:w="9854"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1" w:noVBand="0" w:lastRow="0" w:firstColumn="1" w:lastColumn="0" w:noHBand="0" w:val="00a0"/>
      </w:tblPr>
      <w:tblGrid>
        <w:gridCol w:w="502"/>
        <w:gridCol w:w="2266"/>
        <w:gridCol w:w="1276"/>
        <w:gridCol w:w="1063"/>
        <w:gridCol w:w="1163"/>
        <w:gridCol w:w="1359"/>
        <w:gridCol w:w="1172"/>
        <w:gridCol w:w="1051"/>
      </w:tblGrid>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1</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lang w:val="uk-UA"/>
              </w:rPr>
              <w:t>Мета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spacing w:val="-5"/>
                <w:sz w:val="24"/>
                <w:szCs w:val="24"/>
                <w:lang w:val="uk-UA"/>
              </w:rPr>
              <w:t>Забезпечення мінімально достатнього рівня безпеки населення і територій Слов’янської міської територіальної громади та ефективних дій щодо попередження і реагування на надзвичайні ситуації техногенного, природного та воєнного характеру, рятування людей на водних об’єктах</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2</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Цілі, визначені Стратегією розвитку Донецької області, Стратегією розвитку Слов’янської міської територіальної громади (за наявності)(іншими стратегічними документами), на досягнення яких спрямована Програма</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uppressAutoHyphens w:val="false"/>
              <w:jc w:val="both"/>
              <w:rPr>
                <w:sz w:val="24"/>
                <w:szCs w:val="24"/>
                <w:lang w:val="uk-UA"/>
              </w:rPr>
            </w:pPr>
            <w:r>
              <w:rPr>
                <w:sz w:val="24"/>
                <w:szCs w:val="24"/>
                <w:lang w:val="uk-UA"/>
              </w:rPr>
              <w:t>Ефективне управління та безпека в умовах зовнішніх і внутрішніх викликів</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3</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Дата, номер і назва розпорядчого документа про розроблення проєкту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sz w:val="24"/>
                <w:szCs w:val="24"/>
                <w:lang w:val="uk-UA"/>
              </w:rPr>
              <w:t>16.11.2023  №  2155  «Про розробку проєкту Програми»</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4</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Розробник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FR2"/>
              <w:tabs>
                <w:tab w:val="left" w:pos="284" w:leader="none"/>
              </w:tabs>
              <w:ind w:left="0" w:hanging="0"/>
              <w:jc w:val="both"/>
              <w:rPr>
                <w:spacing w:val="-5"/>
                <w:sz w:val="24"/>
                <w:szCs w:val="24"/>
              </w:rPr>
            </w:pPr>
            <w:r>
              <w:rPr>
                <w:spacing w:val="-5"/>
                <w:sz w:val="24"/>
                <w:szCs w:val="24"/>
              </w:rPr>
              <w:t>Відділ з питань цивільного захисту, мобілізаційної та оборонної роботи Слов’янської міської ВА</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5</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Відповідальний виконавець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FR2"/>
              <w:tabs>
                <w:tab w:val="left" w:pos="284" w:leader="none"/>
              </w:tabs>
              <w:ind w:left="0" w:hanging="0"/>
              <w:jc w:val="both"/>
              <w:rPr>
                <w:spacing w:val="-5"/>
                <w:sz w:val="24"/>
                <w:szCs w:val="24"/>
              </w:rPr>
            </w:pPr>
            <w:r>
              <w:rPr>
                <w:spacing w:val="-5"/>
                <w:sz w:val="24"/>
                <w:szCs w:val="24"/>
              </w:rPr>
              <w:t xml:space="preserve">Відділ з питань цивільного захисту, мобілізаційної та оборонної роботи Слов’янської міської ВА </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6</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Співвиконавці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FR2"/>
              <w:tabs>
                <w:tab w:val="left" w:pos="284" w:leader="none"/>
              </w:tabs>
              <w:ind w:left="0" w:hanging="0"/>
              <w:jc w:val="both"/>
              <w:rPr>
                <w:spacing w:val="-5"/>
                <w:sz w:val="24"/>
                <w:szCs w:val="24"/>
              </w:rPr>
            </w:pPr>
            <w:r>
              <w:rPr>
                <w:spacing w:val="-5"/>
                <w:sz w:val="24"/>
                <w:szCs w:val="24"/>
              </w:rPr>
              <w:t>Управління житлово-комунального господарства Слов’янської міської ВА</w:t>
            </w:r>
          </w:p>
          <w:p>
            <w:pPr>
              <w:pStyle w:val="FR2"/>
              <w:tabs>
                <w:tab w:val="left" w:pos="284" w:leader="none"/>
              </w:tabs>
              <w:ind w:left="0" w:hanging="0"/>
              <w:jc w:val="both"/>
              <w:rPr>
                <w:spacing w:val="-5"/>
                <w:sz w:val="24"/>
                <w:szCs w:val="24"/>
              </w:rPr>
            </w:pPr>
            <w:r>
              <w:rPr>
                <w:spacing w:val="-5"/>
                <w:sz w:val="24"/>
                <w:szCs w:val="24"/>
              </w:rPr>
              <w:t>Відділ освіти Слов’янської міської ВА</w:t>
            </w:r>
          </w:p>
          <w:p>
            <w:pPr>
              <w:pStyle w:val="FR2"/>
              <w:tabs>
                <w:tab w:val="left" w:pos="284" w:leader="none"/>
              </w:tabs>
              <w:ind w:left="0" w:hanging="0"/>
              <w:jc w:val="both"/>
              <w:rPr>
                <w:spacing w:val="-5"/>
                <w:sz w:val="24"/>
                <w:szCs w:val="24"/>
              </w:rPr>
            </w:pPr>
            <w:r>
              <w:rPr>
                <w:spacing w:val="-5"/>
                <w:sz w:val="24"/>
                <w:szCs w:val="24"/>
              </w:rPr>
              <w:t>Відділ охорони здоров’я Слов’янської міської ВА</w:t>
            </w:r>
          </w:p>
          <w:p>
            <w:pPr>
              <w:pStyle w:val="FR2"/>
              <w:tabs>
                <w:tab w:val="left" w:pos="284" w:leader="none"/>
              </w:tabs>
              <w:ind w:left="0" w:hanging="0"/>
              <w:jc w:val="both"/>
              <w:rPr>
                <w:spacing w:val="-5"/>
                <w:sz w:val="24"/>
                <w:szCs w:val="24"/>
              </w:rPr>
            </w:pPr>
            <w:r>
              <w:rPr>
                <w:spacing w:val="-5"/>
                <w:sz w:val="24"/>
                <w:szCs w:val="24"/>
              </w:rPr>
              <w:t>Відділ екології та природних ресурсів Слов’янської міської ВА</w:t>
            </w:r>
          </w:p>
          <w:p>
            <w:pPr>
              <w:pStyle w:val="FR2"/>
              <w:tabs>
                <w:tab w:val="left" w:pos="284" w:leader="none"/>
              </w:tabs>
              <w:ind w:left="0" w:hanging="0"/>
              <w:jc w:val="both"/>
              <w:rPr>
                <w:spacing w:val="-5"/>
                <w:sz w:val="24"/>
                <w:szCs w:val="24"/>
              </w:rPr>
            </w:pPr>
            <w:r>
              <w:rPr>
                <w:spacing w:val="-5"/>
                <w:sz w:val="24"/>
                <w:szCs w:val="24"/>
              </w:rPr>
              <w:t>6 ДПРЗ ГУ ДСНС України у Донецькій області</w:t>
            </w:r>
          </w:p>
          <w:p>
            <w:pPr>
              <w:pStyle w:val="FR2"/>
              <w:tabs>
                <w:tab w:val="left" w:pos="284" w:leader="none"/>
              </w:tabs>
              <w:ind w:left="0" w:hanging="0"/>
              <w:jc w:val="both"/>
              <w:rPr>
                <w:spacing w:val="-5"/>
                <w:sz w:val="24"/>
                <w:szCs w:val="24"/>
              </w:rPr>
            </w:pPr>
            <w:r>
              <w:rPr>
                <w:spacing w:val="-5"/>
                <w:sz w:val="24"/>
                <w:szCs w:val="24"/>
              </w:rPr>
              <w:t>Слов’янське районне управління Держпродспоживслужби ГУ Держпродспоживслужби в Донецькій області</w:t>
            </w:r>
          </w:p>
        </w:tc>
      </w:tr>
      <w:tr>
        <w:trPr>
          <w:trHeight w:val="268" w:hRule="atLeast"/>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7</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color w:val="000000"/>
                <w:lang w:val="uk-UA"/>
              </w:rPr>
            </w:pPr>
            <w:r>
              <w:rPr>
                <w:color w:val="000000"/>
                <w:lang w:val="uk-UA"/>
              </w:rPr>
              <w:t>Строки реалізації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rPr>
                <w:sz w:val="18"/>
                <w:szCs w:val="18"/>
                <w:lang w:val="uk-UA"/>
              </w:rPr>
            </w:pPr>
            <w:r>
              <w:rPr>
                <w:spacing w:val="-5"/>
                <w:sz w:val="24"/>
                <w:szCs w:val="24"/>
                <w:lang w:val="uk-UA"/>
              </w:rPr>
              <w:t>2024 рік</w:t>
            </w:r>
          </w:p>
        </w:tc>
      </w:tr>
      <w:tr>
        <w:trPr>
          <w:trHeight w:val="268" w:hRule="atLeast"/>
        </w:trPr>
        <w:tc>
          <w:tcPr>
            <w:tcW w:w="502"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8</w:t>
            </w:r>
          </w:p>
        </w:tc>
        <w:tc>
          <w:tcPr>
            <w:tcW w:w="2266"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lang w:val="uk-UA"/>
              </w:rPr>
              <w:t>Обсяг фінансових ресурсів, необхідних для реалізації Програми</w:t>
            </w:r>
          </w:p>
          <w:p>
            <w:pPr>
              <w:pStyle w:val="Normal"/>
              <w:jc w:val="both"/>
              <w:rPr>
                <w:lang w:val="uk-UA"/>
              </w:rPr>
            </w:pPr>
            <w:r>
              <w:rPr>
                <w:lang w:val="uk-UA"/>
              </w:rPr>
              <w:t>Всього</w:t>
            </w:r>
          </w:p>
          <w:p>
            <w:pPr>
              <w:pStyle w:val="Normal"/>
              <w:jc w:val="both"/>
              <w:rPr>
                <w:lang w:val="uk-UA"/>
              </w:rPr>
            </w:pPr>
            <w:r>
              <w:rPr>
                <w:lang w:val="uk-UA"/>
              </w:rPr>
              <w:t>у тому числі за роками:</w:t>
            </w:r>
          </w:p>
        </w:tc>
        <w:tc>
          <w:tcPr>
            <w:tcW w:w="1276"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sz w:val="18"/>
                <w:szCs w:val="18"/>
                <w:lang w:val="uk-UA"/>
              </w:rPr>
            </w:pPr>
            <w:r>
              <w:rPr>
                <w:sz w:val="18"/>
                <w:szCs w:val="18"/>
                <w:lang w:val="uk-UA"/>
              </w:rPr>
            </w:r>
          </w:p>
          <w:p>
            <w:pPr>
              <w:pStyle w:val="Normal"/>
              <w:jc w:val="both"/>
              <w:rPr>
                <w:sz w:val="18"/>
                <w:szCs w:val="18"/>
                <w:lang w:val="uk-UA"/>
              </w:rPr>
            </w:pPr>
            <w:r>
              <w:rPr>
                <w:sz w:val="18"/>
                <w:szCs w:val="18"/>
                <w:lang w:val="uk-UA"/>
              </w:rPr>
              <w:t>Всього</w:t>
            </w:r>
          </w:p>
          <w:p>
            <w:pPr>
              <w:pStyle w:val="Normal"/>
              <w:jc w:val="both"/>
              <w:rPr>
                <w:sz w:val="18"/>
                <w:szCs w:val="18"/>
                <w:lang w:val="uk-UA"/>
              </w:rPr>
            </w:pPr>
            <w:r>
              <w:rPr>
                <w:sz w:val="18"/>
                <w:szCs w:val="18"/>
                <w:lang w:val="uk-UA"/>
              </w:rPr>
              <w:t>тис.грн</w:t>
            </w:r>
          </w:p>
        </w:tc>
        <w:tc>
          <w:tcPr>
            <w:tcW w:w="5808"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sz w:val="18"/>
                <w:szCs w:val="18"/>
                <w:lang w:val="uk-UA"/>
              </w:rPr>
            </w:pPr>
            <w:r>
              <w:rPr>
                <w:sz w:val="18"/>
                <w:szCs w:val="18"/>
                <w:lang w:val="uk-UA"/>
              </w:rPr>
              <w:t>у тому числі за джерелами</w:t>
            </w:r>
          </w:p>
        </w:tc>
      </w:tr>
      <w:tr>
        <w:trPr>
          <w:trHeight w:val="558" w:hRule="atLeast"/>
        </w:trPr>
        <w:tc>
          <w:tcPr>
            <w:tcW w:w="50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r>
          </w:p>
        </w:tc>
        <w:tc>
          <w:tcPr>
            <w:tcW w:w="2266"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color w:val="000000"/>
                <w:lang w:val="uk-UA"/>
              </w:rPr>
            </w:pPr>
            <w:r>
              <w:rPr>
                <w:color w:val="000000"/>
                <w:lang w:val="uk-UA"/>
              </w:rPr>
            </w:r>
          </w:p>
        </w:tc>
        <w:tc>
          <w:tcPr>
            <w:tcW w:w="1276"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sz w:val="18"/>
                <w:szCs w:val="18"/>
                <w:lang w:val="uk-UA"/>
              </w:rPr>
            </w:pPr>
            <w:r>
              <w:rPr>
                <w:sz w:val="18"/>
                <w:szCs w:val="18"/>
                <w:lang w:val="uk-UA"/>
              </w:rPr>
            </w:r>
          </w:p>
        </w:tc>
        <w:tc>
          <w:tcPr>
            <w:tcW w:w="10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sz w:val="18"/>
                <w:szCs w:val="18"/>
                <w:lang w:val="uk-UA"/>
              </w:rPr>
            </w:pPr>
            <w:r>
              <w:rPr>
                <w:sz w:val="18"/>
                <w:szCs w:val="18"/>
                <w:lang w:val="uk-UA"/>
              </w:rPr>
              <w:t>державний бюджет</w:t>
            </w:r>
          </w:p>
        </w:tc>
        <w:tc>
          <w:tcPr>
            <w:tcW w:w="11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suppressAutoHyphens w:val="false"/>
              <w:jc w:val="center"/>
              <w:rPr>
                <w:sz w:val="18"/>
                <w:szCs w:val="18"/>
                <w:lang w:val="uk-UA"/>
              </w:rPr>
            </w:pPr>
            <w:r>
              <w:rPr>
                <w:sz w:val="18"/>
                <w:szCs w:val="18"/>
                <w:lang w:val="uk-UA"/>
              </w:rPr>
              <w:t>обласний бюджет</w:t>
            </w:r>
          </w:p>
          <w:p>
            <w:pPr>
              <w:pStyle w:val="Normal"/>
              <w:jc w:val="center"/>
              <w:rPr>
                <w:sz w:val="18"/>
                <w:szCs w:val="18"/>
                <w:lang w:val="uk-UA"/>
              </w:rPr>
            </w:pPr>
            <w:r>
              <w:rPr>
                <w:sz w:val="18"/>
                <w:szCs w:val="18"/>
                <w:lang w:val="uk-UA"/>
              </w:rPr>
            </w:r>
          </w:p>
        </w:tc>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sz w:val="18"/>
                <w:szCs w:val="18"/>
                <w:lang w:val="uk-UA"/>
              </w:rPr>
            </w:pPr>
            <w:r>
              <w:rPr>
                <w:sz w:val="18"/>
                <w:szCs w:val="18"/>
                <w:lang w:val="uk-UA"/>
              </w:rPr>
              <w:t>бюджет територіальної громади</w:t>
            </w:r>
          </w:p>
        </w:tc>
        <w:tc>
          <w:tcPr>
            <w:tcW w:w="11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sz w:val="18"/>
                <w:szCs w:val="18"/>
                <w:lang w:val="uk-UA"/>
              </w:rPr>
            </w:pPr>
            <w:r>
              <w:rPr>
                <w:sz w:val="18"/>
                <w:szCs w:val="18"/>
                <w:lang w:val="uk-UA"/>
              </w:rPr>
              <w:t>кошти підприємств</w:t>
            </w:r>
          </w:p>
        </w:tc>
        <w:tc>
          <w:tcPr>
            <w:tcW w:w="10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sz w:val="18"/>
                <w:szCs w:val="18"/>
                <w:lang w:val="uk-UA"/>
              </w:rPr>
            </w:pPr>
            <w:r>
              <w:rPr>
                <w:sz w:val="18"/>
                <w:szCs w:val="18"/>
                <w:lang w:val="uk-UA"/>
              </w:rPr>
              <w:t>інші кошти</w:t>
            </w:r>
          </w:p>
        </w:tc>
      </w:tr>
      <w:tr>
        <w:trPr>
          <w:trHeight w:val="242" w:hRule="atLeast"/>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8.1</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lang w:val="uk-UA"/>
              </w:rPr>
              <w:t>2024</w:t>
            </w:r>
          </w:p>
        </w:tc>
        <w:tc>
          <w:tcPr>
            <w:tcW w:w="127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b/>
                <w:b/>
                <w:bCs/>
                <w:sz w:val="18"/>
                <w:szCs w:val="18"/>
                <w:lang w:val="uk-UA"/>
              </w:rPr>
            </w:pPr>
            <w:r>
              <w:rPr>
                <w:b/>
                <w:bCs/>
                <w:sz w:val="18"/>
                <w:szCs w:val="18"/>
                <w:lang w:val="uk-UA"/>
              </w:rPr>
              <w:t>67 193,920</w:t>
            </w:r>
          </w:p>
        </w:tc>
        <w:tc>
          <w:tcPr>
            <w:tcW w:w="10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b/>
                <w:b/>
                <w:bCs/>
                <w:sz w:val="18"/>
                <w:szCs w:val="18"/>
                <w:lang w:val="uk-UA"/>
              </w:rPr>
            </w:pPr>
            <w:r>
              <w:rPr>
                <w:b/>
                <w:bCs/>
                <w:sz w:val="18"/>
                <w:szCs w:val="18"/>
                <w:lang w:val="uk-UA"/>
              </w:rPr>
              <w:t>0,000</w:t>
            </w:r>
          </w:p>
        </w:tc>
        <w:tc>
          <w:tcPr>
            <w:tcW w:w="11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b/>
                <w:b/>
                <w:bCs/>
                <w:sz w:val="18"/>
                <w:szCs w:val="18"/>
                <w:lang w:val="uk-UA"/>
              </w:rPr>
            </w:pPr>
            <w:r>
              <w:rPr>
                <w:b/>
                <w:bCs/>
                <w:sz w:val="18"/>
                <w:szCs w:val="18"/>
                <w:lang w:val="uk-UA"/>
              </w:rPr>
              <w:t>0,000</w:t>
            </w:r>
          </w:p>
        </w:tc>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b/>
                <w:b/>
                <w:bCs/>
                <w:sz w:val="18"/>
                <w:szCs w:val="18"/>
                <w:lang w:val="uk-UA"/>
              </w:rPr>
            </w:pPr>
            <w:r>
              <w:rPr>
                <w:b/>
                <w:bCs/>
                <w:sz w:val="18"/>
                <w:szCs w:val="18"/>
                <w:lang w:val="uk-UA"/>
              </w:rPr>
              <w:t>67 193,920</w:t>
            </w:r>
          </w:p>
        </w:tc>
        <w:tc>
          <w:tcPr>
            <w:tcW w:w="11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b/>
                <w:b/>
                <w:bCs/>
                <w:sz w:val="18"/>
                <w:szCs w:val="18"/>
                <w:lang w:val="uk-UA"/>
              </w:rPr>
            </w:pPr>
            <w:r>
              <w:rPr>
                <w:b/>
                <w:bCs/>
                <w:sz w:val="18"/>
                <w:szCs w:val="18"/>
                <w:lang w:val="uk-UA"/>
              </w:rPr>
              <w:t>0,000</w:t>
            </w:r>
          </w:p>
        </w:tc>
        <w:tc>
          <w:tcPr>
            <w:tcW w:w="10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b/>
                <w:b/>
                <w:bCs/>
                <w:sz w:val="18"/>
                <w:szCs w:val="18"/>
                <w:lang w:val="uk-UA"/>
              </w:rPr>
            </w:pPr>
            <w:r>
              <w:rPr>
                <w:b/>
                <w:bCs/>
                <w:sz w:val="18"/>
                <w:szCs w:val="18"/>
                <w:lang w:val="uk-UA"/>
              </w:rPr>
              <w:t>0,000</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9</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Очікуваний результат виконання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FR2"/>
              <w:tabs>
                <w:tab w:val="left" w:pos="284" w:leader="none"/>
              </w:tabs>
              <w:ind w:left="0" w:hanging="0"/>
              <w:jc w:val="both"/>
              <w:rPr>
                <w:sz w:val="24"/>
                <w:szCs w:val="24"/>
              </w:rPr>
            </w:pPr>
            <w:r>
              <w:rPr>
                <w:sz w:val="24"/>
                <w:szCs w:val="24"/>
              </w:rPr>
              <w:t>Придбання матеріально – технічного оснащення</w:t>
            </w:r>
          </w:p>
        </w:tc>
      </w:tr>
      <w:tr>
        <w:trPr/>
        <w:tc>
          <w:tcPr>
            <w:tcW w:w="5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center"/>
              <w:rPr>
                <w:lang w:val="uk-UA"/>
              </w:rPr>
            </w:pPr>
            <w:r>
              <w:rPr>
                <w:lang w:val="uk-UA"/>
              </w:rPr>
              <w:t>10</w:t>
            </w:r>
          </w:p>
        </w:tc>
        <w:tc>
          <w:tcPr>
            <w:tcW w:w="226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lang w:val="uk-UA"/>
              </w:rPr>
            </w:pPr>
            <w:r>
              <w:rPr>
                <w:color w:val="000000"/>
                <w:lang w:val="uk-UA"/>
              </w:rPr>
              <w:t>Ефективність Програми</w:t>
            </w:r>
          </w:p>
        </w:tc>
        <w:tc>
          <w:tcPr>
            <w:tcW w:w="7084"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8" w:type="dxa"/>
            </w:tcMar>
          </w:tcPr>
          <w:p>
            <w:pPr>
              <w:pStyle w:val="Normal"/>
              <w:jc w:val="both"/>
              <w:rPr>
                <w:sz w:val="24"/>
                <w:szCs w:val="24"/>
                <w:lang w:val="uk-UA"/>
              </w:rPr>
            </w:pPr>
            <w:r>
              <w:rPr>
                <w:sz w:val="24"/>
                <w:szCs w:val="24"/>
                <w:lang w:val="uk-UA"/>
              </w:rPr>
              <w:t>Створена оптимальна та результативна єдина система цивільного захисту, підвищено дієвість функціонування аварійно-рятувальних підрозділів, зменшено кількість постраждалих та загиблих внаслідок надзвичайних ситуацій та під час воєнний дій</w:t>
            </w:r>
          </w:p>
        </w:tc>
      </w:tr>
    </w:tbl>
    <w:p>
      <w:pPr>
        <w:pStyle w:val="Normal"/>
        <w:jc w:val="both"/>
        <w:rPr>
          <w:sz w:val="24"/>
          <w:szCs w:val="24"/>
          <w:lang w:val="uk-UA"/>
        </w:rPr>
      </w:pPr>
      <w:r>
        <w:rPr>
          <w:sz w:val="24"/>
          <w:szCs w:val="24"/>
          <w:lang w:val="uk-UA"/>
        </w:rPr>
      </w:r>
    </w:p>
    <w:p>
      <w:pPr>
        <w:pStyle w:val="Normal"/>
        <w:ind w:left="720" w:hanging="0"/>
        <w:rPr>
          <w:sz w:val="24"/>
          <w:szCs w:val="24"/>
          <w:lang w:val="uk-UA"/>
        </w:rPr>
      </w:pPr>
      <w:r>
        <w:rPr>
          <w:sz w:val="24"/>
          <w:szCs w:val="24"/>
          <w:lang w:val="uk-UA"/>
        </w:rPr>
        <w:t>1. Визначення проблеми, на розв’язання якої спрямована Програма</w:t>
      </w:r>
    </w:p>
    <w:p>
      <w:pPr>
        <w:pStyle w:val="Normal"/>
        <w:jc w:val="both"/>
        <w:rPr>
          <w:lang w:val="uk-UA"/>
        </w:rPr>
      </w:pPr>
      <w:r>
        <w:rPr>
          <w:sz w:val="24"/>
          <w:szCs w:val="24"/>
          <w:lang w:val="uk-UA"/>
        </w:rPr>
        <w:t xml:space="preserve">            </w:t>
      </w:r>
    </w:p>
    <w:p>
      <w:pPr>
        <w:pStyle w:val="Normal"/>
        <w:ind w:firstLine="720"/>
        <w:jc w:val="both"/>
        <w:rPr>
          <w:b/>
          <w:b/>
          <w:bCs/>
          <w:sz w:val="24"/>
          <w:szCs w:val="24"/>
          <w:lang w:val="uk-UA"/>
        </w:rPr>
      </w:pPr>
      <w:r>
        <w:rPr>
          <w:sz w:val="24"/>
          <w:szCs w:val="24"/>
          <w:lang w:val="uk-UA"/>
        </w:rPr>
        <w:t>Програми із запобігання та ліквідації надзвичайних ситуацій, наслідків стихійного лиха та воєнних дій на території Слов’янської міської територіальної громади на 2024 рік (далі - Програма) розроблена відділом з питань цивільного захисту, мобілізаційної та оборонної роботи Слов’янської міської ВА.</w:t>
      </w:r>
    </w:p>
    <w:p>
      <w:pPr>
        <w:pStyle w:val="Normal"/>
        <w:ind w:firstLine="709"/>
        <w:jc w:val="both"/>
        <w:rPr>
          <w:sz w:val="24"/>
          <w:szCs w:val="24"/>
          <w:lang w:val="uk-UA"/>
        </w:rPr>
      </w:pPr>
      <w:r>
        <w:rPr>
          <w:sz w:val="24"/>
          <w:szCs w:val="24"/>
          <w:lang w:val="uk-UA"/>
        </w:rPr>
        <w:t>В основу Програми покладені положення Кодексу цивільного захисту України, Стратегії розвитку Донецької області на період до 2027 року, затвердженої розпорядженням голови Донецької облдержадміністрації, керівника обласної Донецької військово-цивільної адміністрації від 17.02.2020 року № 147/5-20, відповідно до розпорядження начальника Слов'янської міської військової адміністрації «Про забезпечення сталого проходження осінньо-зимового періоду 2023-2024 років Слов’янської міської територіальної громади».</w:t>
      </w:r>
    </w:p>
    <w:p>
      <w:pPr>
        <w:pStyle w:val="Normal"/>
        <w:ind w:firstLine="708"/>
        <w:jc w:val="both"/>
        <w:rPr>
          <w:b/>
          <w:b/>
          <w:bCs/>
          <w:sz w:val="24"/>
          <w:szCs w:val="24"/>
          <w:lang w:val="uk-UA"/>
        </w:rPr>
      </w:pPr>
      <w:r>
        <w:rPr>
          <w:sz w:val="24"/>
          <w:szCs w:val="24"/>
          <w:lang w:val="uk-UA"/>
        </w:rPr>
        <w:t>Програма визначає основні цілі і завдання розвитку місцевої ланки територіальної підсистеми єдиної державної системи цивільного захисту Слов’янської міської територіальної громади з питань попередження і оперативного реагування на надзвичайні ситуації техногенного, природного та воєнного характеру, захисту населення і територій від них до 2025 року.</w:t>
      </w:r>
    </w:p>
    <w:p>
      <w:pPr>
        <w:pStyle w:val="16"/>
        <w:ind w:firstLine="708"/>
        <w:jc w:val="both"/>
        <w:rPr>
          <w:b w:val="false"/>
          <w:b w:val="false"/>
          <w:bCs w:val="false"/>
          <w:color w:val="00000A"/>
          <w:sz w:val="24"/>
          <w:szCs w:val="24"/>
        </w:rPr>
      </w:pPr>
      <w:r>
        <w:rPr>
          <w:b w:val="false"/>
          <w:bCs w:val="false"/>
          <w:color w:val="00000A"/>
          <w:sz w:val="24"/>
          <w:szCs w:val="24"/>
        </w:rPr>
        <w:t xml:space="preserve">Програма заснована на показниках техногенної та природної небезпеки громади, спрямованих на забезпечення захисту населення і територій, а також тенденціях вирішення питань попередження та реагування на них за період 2019 – 2022 років, воєнних реаліях, припущеннях та економічних показниках. Вони базуються на аналізі ситуації, що склалася, враховують макроекономічні прогнози. </w:t>
      </w:r>
    </w:p>
    <w:p>
      <w:pPr>
        <w:pStyle w:val="16"/>
        <w:ind w:firstLine="708"/>
        <w:jc w:val="both"/>
        <w:rPr>
          <w:b w:val="false"/>
          <w:b w:val="false"/>
          <w:bCs w:val="false"/>
          <w:color w:val="00000A"/>
          <w:sz w:val="24"/>
          <w:szCs w:val="24"/>
        </w:rPr>
      </w:pPr>
      <w:r>
        <w:rPr>
          <w:b w:val="false"/>
          <w:bCs w:val="false"/>
          <w:color w:val="00000A"/>
          <w:sz w:val="24"/>
          <w:szCs w:val="24"/>
        </w:rPr>
        <w:t>Програмою передбачені заходи, фінансування яких здійснюватиметься за рахунок  бюджету територіальної громади.</w:t>
      </w:r>
    </w:p>
    <w:p>
      <w:pPr>
        <w:pStyle w:val="16"/>
        <w:ind w:firstLine="708"/>
        <w:jc w:val="both"/>
        <w:rPr>
          <w:b w:val="false"/>
          <w:b w:val="false"/>
          <w:bCs w:val="false"/>
          <w:color w:val="00000A"/>
          <w:sz w:val="24"/>
          <w:szCs w:val="24"/>
        </w:rPr>
      </w:pPr>
      <w:r>
        <w:rPr>
          <w:b w:val="false"/>
          <w:bCs w:val="false"/>
          <w:color w:val="00000A"/>
          <w:sz w:val="24"/>
          <w:szCs w:val="24"/>
        </w:rPr>
        <w:t>Протягом 2021 року на території Слов’янської міської територіальної громади виникло:</w:t>
      </w:r>
    </w:p>
    <w:p>
      <w:pPr>
        <w:pStyle w:val="16"/>
        <w:ind w:firstLine="708"/>
        <w:jc w:val="both"/>
        <w:rPr>
          <w:b w:val="false"/>
          <w:b w:val="false"/>
          <w:bCs w:val="false"/>
          <w:color w:val="00000A"/>
          <w:sz w:val="24"/>
          <w:szCs w:val="24"/>
        </w:rPr>
      </w:pPr>
      <w:r>
        <w:rPr>
          <w:b w:val="false"/>
          <w:bCs w:val="false"/>
          <w:color w:val="00000A"/>
          <w:sz w:val="24"/>
          <w:szCs w:val="24"/>
        </w:rPr>
        <w:t>- 260 пожеж (у 2020 – 238 пожеж, у 2019 – 329 пожеж, у 2018 – 221 пожежа, у 2017 – 298 пожеж), під час яких загинуло 7 осіб (у 2020 – 12 осіб, у 2019 – 12  осіб, у 2018 – 9 осіб, у 2017 – 6 осіб), а збитки становлять - 3 млн. 301 тис. грн. (у 2020 – 4 млн. 731 тис. грн., у 2019 – 4 млн. 731 тис. грн., у 2018 – 3 млн. 77 тис. грн.,  у 2017 – 7 млн. 209 тис. грн.).</w:t>
      </w:r>
    </w:p>
    <w:p>
      <w:pPr>
        <w:pStyle w:val="16"/>
        <w:ind w:firstLine="708"/>
        <w:jc w:val="both"/>
        <w:rPr>
          <w:b w:val="false"/>
          <w:b w:val="false"/>
          <w:bCs w:val="false"/>
          <w:color w:val="00000A"/>
          <w:sz w:val="24"/>
          <w:szCs w:val="24"/>
        </w:rPr>
      </w:pPr>
      <w:r>
        <w:rPr>
          <w:b w:val="false"/>
          <w:bCs w:val="false"/>
          <w:color w:val="00000A"/>
          <w:sz w:val="24"/>
          <w:szCs w:val="24"/>
        </w:rPr>
        <w:t xml:space="preserve">- на водних об’єктах загинуло 2 особи (у 2020 – 2 особи, у 2019 – 2 особи, у 2018 – 3 особи, у 2017 – 0 осіб). </w:t>
      </w:r>
    </w:p>
    <w:p>
      <w:pPr>
        <w:pStyle w:val="Normal"/>
        <w:ind w:firstLine="720"/>
        <w:jc w:val="both"/>
        <w:rPr>
          <w:sz w:val="24"/>
          <w:szCs w:val="24"/>
          <w:lang w:val="uk-UA"/>
        </w:rPr>
      </w:pPr>
      <w:r>
        <w:rPr>
          <w:sz w:val="24"/>
          <w:szCs w:val="24"/>
          <w:lang w:val="uk-UA"/>
        </w:rPr>
        <w:t>- у 2022 році продовжувала діяти медико-біологічна надзвичайна ситуація природного характеру, код НС 20711 - НС, пов’язана з екзотичним та особливо небезпечним інфекційним захворюванням людей (окремі випадки), код ознаки 2.27 державного рівня, яка виникла у 2020 році.</w:t>
      </w:r>
    </w:p>
    <w:p>
      <w:pPr>
        <w:pStyle w:val="Normal"/>
        <w:ind w:firstLine="720"/>
        <w:jc w:val="both"/>
        <w:rPr>
          <w:sz w:val="24"/>
          <w:szCs w:val="24"/>
          <w:lang w:val="uk-UA"/>
        </w:rPr>
      </w:pPr>
      <w:r>
        <w:rPr>
          <w:sz w:val="24"/>
          <w:szCs w:val="24"/>
          <w:lang w:val="uk-UA"/>
        </w:rPr>
        <w:t>- з 24.02.2022 зруйновано 603 одиниці багатоповерхівок та індивідуальної забудови, 60 одиниць інфраструктури громади.</w:t>
      </w:r>
    </w:p>
    <w:p>
      <w:pPr>
        <w:pStyle w:val="Normal"/>
        <w:ind w:firstLine="720"/>
        <w:jc w:val="both"/>
        <w:rPr>
          <w:sz w:val="24"/>
          <w:szCs w:val="24"/>
          <w:lang w:val="uk-UA"/>
        </w:rPr>
      </w:pPr>
      <w:r>
        <w:rPr>
          <w:sz w:val="24"/>
          <w:szCs w:val="24"/>
          <w:lang w:val="uk-UA"/>
        </w:rPr>
        <w:t>Для підтримання належного рівня комфорту необхідно придбати відповідні прилади, які дозволять перейти на використання енергії, аналогійній отримуваній від газових приладів.</w:t>
      </w:r>
    </w:p>
    <w:p>
      <w:pPr>
        <w:pStyle w:val="Normal"/>
        <w:ind w:firstLine="720"/>
        <w:jc w:val="both"/>
        <w:rPr>
          <w:sz w:val="24"/>
          <w:szCs w:val="24"/>
          <w:lang w:val="uk-UA"/>
        </w:rPr>
      </w:pPr>
      <w:r>
        <w:rPr>
          <w:sz w:val="24"/>
          <w:szCs w:val="24"/>
          <w:lang w:val="uk-UA"/>
        </w:rPr>
        <w:t>Основна концентрація зусиль на альтернативному опаленні, тобто це металеві печі, це електрообігрівачі. Це будуть модульні котельні на об’єктах критичної, соціальної інфраструктури та пункти обігріву.</w:t>
      </w:r>
    </w:p>
    <w:p>
      <w:pPr>
        <w:pStyle w:val="NormalWeb"/>
        <w:shd w:val="clear" w:color="auto" w:fill="FFFFFF"/>
        <w:ind w:firstLine="708"/>
        <w:jc w:val="both"/>
        <w:rPr>
          <w:rStyle w:val="Strong"/>
          <w:b w:val="false"/>
          <w:b w:val="false"/>
          <w:bCs w:val="false"/>
        </w:rPr>
      </w:pPr>
      <w:r>
        <w:rPr>
          <w:rStyle w:val="Strong"/>
          <w:b w:val="false"/>
          <w:bCs w:val="false"/>
        </w:rPr>
        <w:t>Ліквідувати наслідки обстрілів будуть майстри комунального підприємства. Вони будуть виконувати роботи із закриття вікон житлових будинків, покрівлі, які будуть пошкоджені внаслідок ворожого обстрілу, щоб будинки залишалися придатними до експлуатації.</w:t>
      </w:r>
    </w:p>
    <w:p>
      <w:pPr>
        <w:pStyle w:val="NormalWeb"/>
        <w:shd w:val="clear" w:color="auto" w:fill="FFFFFF"/>
        <w:ind w:firstLine="708"/>
        <w:jc w:val="both"/>
        <w:rPr>
          <w:rStyle w:val="Strong"/>
          <w:b w:val="false"/>
          <w:b w:val="false"/>
          <w:bCs w:val="false"/>
        </w:rPr>
      </w:pPr>
      <w:r>
        <w:rPr>
          <w:rStyle w:val="Strong"/>
          <w:b w:val="false"/>
          <w:bCs w:val="false"/>
        </w:rPr>
        <w:t>В першу чергу закривати будуть те, що перебуває у квартирі, щоб не задувало, щоб не було взимку холодно. Замість скла будуть вставляти лист OSB, натягувати плівку ПХВ. Майстри будуть затягувати вікна плівкою навіть там, де наразі відсутні люди.</w:t>
      </w:r>
    </w:p>
    <w:p>
      <w:pPr>
        <w:pStyle w:val="NormalWeb"/>
        <w:shd w:val="clear" w:color="auto" w:fill="FFFFFF"/>
        <w:ind w:firstLine="708"/>
        <w:jc w:val="both"/>
        <w:rPr/>
      </w:pPr>
      <w:r>
        <w:rPr>
          <w:rStyle w:val="Strong"/>
          <w:b w:val="false"/>
          <w:bCs w:val="false"/>
        </w:rPr>
        <w:t>У подальшому мешканці можуть вийняти цей лист та вставити туди скло. Пошкоджену покрівлю будуть закривати шифером, єврорубероідом.</w:t>
      </w:r>
    </w:p>
    <w:p>
      <w:pPr>
        <w:pStyle w:val="Normal"/>
        <w:ind w:firstLine="720"/>
        <w:jc w:val="both"/>
        <w:rPr>
          <w:sz w:val="24"/>
          <w:szCs w:val="24"/>
          <w:lang w:val="uk-UA"/>
        </w:rPr>
      </w:pPr>
      <w:r>
        <w:rPr>
          <w:sz w:val="24"/>
          <w:szCs w:val="24"/>
          <w:lang w:val="uk-UA" w:eastAsia="ru-RU"/>
        </w:rPr>
        <w:t>Рівень природно-техногенної безпеки міста, значною мірою, зумовлений</w:t>
      </w:r>
      <w:r>
        <w:rPr>
          <w:sz w:val="24"/>
          <w:szCs w:val="24"/>
          <w:lang w:val="uk-UA"/>
        </w:rPr>
        <w:t xml:space="preserve"> надмірними техногенними навантаженнями на довкілля та проведенням бойових дій на території громади. </w:t>
      </w:r>
    </w:p>
    <w:p>
      <w:pPr>
        <w:pStyle w:val="16"/>
        <w:ind w:firstLine="708"/>
        <w:jc w:val="both"/>
        <w:rPr>
          <w:b w:val="false"/>
          <w:b w:val="false"/>
          <w:bCs w:val="false"/>
          <w:color w:val="00000A"/>
          <w:sz w:val="24"/>
          <w:szCs w:val="24"/>
        </w:rPr>
      </w:pPr>
      <w:r>
        <w:rPr>
          <w:b w:val="false"/>
          <w:bCs w:val="false"/>
          <w:color w:val="00000A"/>
          <w:sz w:val="24"/>
          <w:szCs w:val="24"/>
        </w:rPr>
        <w:t xml:space="preserve">Найбільшого техногенного навантаження зазнають промислові об’єкти, які являють собою зону з надзвичайно високим ступенем ризику виникнення аварій та катастроф техногенного походження. Ризик постійно зростає, внаслідок підвищення частки застарілих технологій та обладнання, зниження темпів відновлення і модернізації виробництва. Зношеність основних виробничих фондів усіх галузей господарства міста становить, у середньому 50 – 60%. Потенційно небезпечні виробництва мають значну питому вагу в структурі промисловості міста (потенційно небезпечних об’єктів – 134 од., з них об’єктів підвищеної небезпеки – 15 од.). </w:t>
      </w:r>
    </w:p>
    <w:p>
      <w:pPr>
        <w:pStyle w:val="16"/>
        <w:ind w:firstLine="708"/>
        <w:jc w:val="both"/>
        <w:rPr>
          <w:b w:val="false"/>
          <w:b w:val="false"/>
          <w:bCs w:val="false"/>
          <w:color w:val="00000A"/>
          <w:sz w:val="24"/>
          <w:szCs w:val="24"/>
        </w:rPr>
      </w:pPr>
      <w:r>
        <w:rPr>
          <w:b w:val="false"/>
          <w:bCs w:val="false"/>
          <w:color w:val="00000A"/>
          <w:sz w:val="24"/>
          <w:szCs w:val="24"/>
        </w:rPr>
        <w:t xml:space="preserve">Масштаби та особливості негативної дії небезпечних факторів у природній сфері визначались природними особливостями території громади, несприятливими наслідками глобальних змін клімату, недотриманням норм і правил безпечного провадження господарської діяльності. </w:t>
      </w:r>
    </w:p>
    <w:p>
      <w:pPr>
        <w:pStyle w:val="16"/>
        <w:ind w:firstLine="708"/>
        <w:jc w:val="both"/>
        <w:rPr>
          <w:b w:val="false"/>
          <w:b w:val="false"/>
          <w:bCs w:val="false"/>
          <w:color w:val="00000A"/>
          <w:sz w:val="24"/>
          <w:szCs w:val="24"/>
        </w:rPr>
      </w:pPr>
      <w:r>
        <w:rPr>
          <w:b w:val="false"/>
          <w:bCs w:val="false"/>
          <w:color w:val="00000A"/>
          <w:sz w:val="24"/>
          <w:szCs w:val="24"/>
        </w:rPr>
        <w:t xml:space="preserve">Великий обсяг транспортування, зберігання й використання небезпечних (шкідливих) речовин, матеріалів та виробів, значне накопичення відходів виробництва та життєдіяльності, інші техногенні фактори суттєво впливали на рівень загрози виникнення надзвичайних ситуацій техногенного характеру у 2019 – 2022 роках. </w:t>
      </w:r>
    </w:p>
    <w:p>
      <w:pPr>
        <w:pStyle w:val="16"/>
        <w:ind w:firstLine="708"/>
        <w:jc w:val="both"/>
        <w:rPr>
          <w:b w:val="false"/>
          <w:b w:val="false"/>
          <w:bCs w:val="false"/>
          <w:color w:val="00000A"/>
          <w:sz w:val="24"/>
          <w:szCs w:val="24"/>
        </w:rPr>
      </w:pPr>
      <w:r>
        <w:rPr>
          <w:b w:val="false"/>
          <w:bCs w:val="false"/>
          <w:color w:val="00000A"/>
          <w:sz w:val="24"/>
          <w:szCs w:val="24"/>
        </w:rPr>
        <w:t xml:space="preserve">На функціонування господарського комплексу та життєдіяльність населення значний вплив має підтоплення значної території міста до 40%. </w:t>
      </w:r>
    </w:p>
    <w:p>
      <w:pPr>
        <w:pStyle w:val="16"/>
        <w:ind w:firstLine="708"/>
        <w:jc w:val="both"/>
        <w:rPr>
          <w:b w:val="false"/>
          <w:b w:val="false"/>
          <w:bCs w:val="false"/>
          <w:color w:val="00000A"/>
          <w:sz w:val="24"/>
          <w:szCs w:val="24"/>
        </w:rPr>
      </w:pPr>
      <w:r>
        <w:rPr>
          <w:b w:val="false"/>
          <w:bCs w:val="false"/>
          <w:color w:val="00000A"/>
          <w:sz w:val="24"/>
          <w:szCs w:val="24"/>
        </w:rPr>
        <w:t xml:space="preserve">Аналіз екологічного стану, епідемічної та санітарно-гігієнічної ситуації свідчить про збереження, у найближчому майбутньому негативної тенденції прояву надзвичайних ситуацій медико-біологічного характеру, насамперед інфекційної захворюваності та отруєння населення. Ймовірність виникнення надзвичайних ситуацій медико-біологічного характеру досить висока. </w:t>
      </w:r>
    </w:p>
    <w:p>
      <w:pPr>
        <w:pStyle w:val="16"/>
        <w:ind w:firstLine="708"/>
        <w:jc w:val="both"/>
        <w:rPr>
          <w:b w:val="false"/>
          <w:b w:val="false"/>
          <w:bCs w:val="false"/>
          <w:color w:val="00000A"/>
          <w:sz w:val="24"/>
          <w:szCs w:val="24"/>
        </w:rPr>
      </w:pPr>
      <w:r>
        <w:rPr>
          <w:b w:val="false"/>
          <w:bCs w:val="false"/>
          <w:color w:val="00000A"/>
          <w:sz w:val="24"/>
          <w:szCs w:val="24"/>
        </w:rPr>
        <w:t xml:space="preserve">Висока ймовірність виникнення надзвичайних ситуацій, пов’язаних із викидом (загрозою викиду) небезпечних хімічних речовин на промислових об’єктах, із наявністю у навколишньому середовищі шкідливих (забруднюючих) речовин понад гранично допустимі концентрації. </w:t>
      </w:r>
    </w:p>
    <w:p>
      <w:pPr>
        <w:pStyle w:val="16"/>
        <w:ind w:firstLine="708"/>
        <w:jc w:val="both"/>
        <w:rPr>
          <w:b w:val="false"/>
          <w:b w:val="false"/>
          <w:bCs w:val="false"/>
          <w:color w:val="00000A"/>
          <w:sz w:val="24"/>
          <w:szCs w:val="24"/>
        </w:rPr>
      </w:pPr>
      <w:r>
        <w:rPr>
          <w:b w:val="false"/>
          <w:bCs w:val="false"/>
          <w:color w:val="00000A"/>
          <w:sz w:val="24"/>
          <w:szCs w:val="24"/>
        </w:rPr>
        <w:t xml:space="preserve">Надзвичайні ситуації соціального характеру пов’язані з виявленням застарілих боєприпасів та вибухонебезпечних предметів, які залишились на території громади після закінчення бойових дій, нещасними випадками з людьми на воді. Головними причинами виникнення цих подій є порушення громадянами правил власної безпеки, нехтування правилами поведінки на водних об’єктах. </w:t>
      </w:r>
    </w:p>
    <w:p>
      <w:pPr>
        <w:pStyle w:val="16"/>
        <w:ind w:firstLine="708"/>
        <w:jc w:val="both"/>
        <w:rPr>
          <w:b w:val="false"/>
          <w:b w:val="false"/>
          <w:bCs w:val="false"/>
          <w:color w:val="00000A"/>
          <w:sz w:val="24"/>
          <w:szCs w:val="24"/>
        </w:rPr>
      </w:pPr>
      <w:r>
        <w:rPr>
          <w:b w:val="false"/>
          <w:bCs w:val="false"/>
          <w:color w:val="00000A"/>
          <w:sz w:val="24"/>
          <w:szCs w:val="24"/>
        </w:rPr>
        <w:t xml:space="preserve">Забезпечення своєчасного захисту населення залежить від якісного проведення аварійно-рятувальних робіт, підтримки безперебійного функціонування та експлуатаційно-технічного обслуговування місцевої системи оповіщення населення про загрозу виникнення або виникнення надзвичайних ситуацій, здійснення організаційних та спеціальних заходів щодо запобігання виникненню надзвичайних ситуацій, технічного переоснащення органів управління та сил цивільного захисту, накопичення матеріально-технічних засобів в місцевому резерві та резервах підприємств. </w:t>
      </w:r>
    </w:p>
    <w:p>
      <w:pPr>
        <w:pStyle w:val="NormalWeb"/>
        <w:shd w:val="clear" w:color="auto" w:fill="FFFFFF"/>
        <w:ind w:firstLine="709"/>
        <w:jc w:val="both"/>
        <w:rPr/>
      </w:pPr>
      <w:r>
        <w:rPr/>
        <w:t>Забезпечення життєдіяльності міста за умови відсутності газу, електроенергії та інших ресурсів, пошкодження та виведення з ладу систем електро- і водопостачання в умовах війни.</w:t>
      </w:r>
    </w:p>
    <w:p>
      <w:pPr>
        <w:pStyle w:val="NormalWeb"/>
        <w:shd w:val="clear" w:color="auto" w:fill="FFFFFF"/>
        <w:ind w:firstLine="709"/>
        <w:jc w:val="both"/>
        <w:rPr/>
      </w:pPr>
      <w:r>
        <w:rPr/>
        <w:t xml:space="preserve">Забезпечення з початком опалювального періоду 2023-2024 років під час війни стаціонарними пунктами обігріву в приміщеннях будівель оздоровчих та освітніх закладів </w:t>
      </w:r>
      <w:r>
        <w:rPr>
          <w:color w:val="1D1B11"/>
        </w:rPr>
        <w:t>Слов’янської міської територіальної громади</w:t>
      </w:r>
      <w:r>
        <w:rPr/>
        <w:t>, обладнаних твердопаливними котельнями з метою недопущення випадків обмороження та загибелі людей.</w:t>
      </w:r>
    </w:p>
    <w:p>
      <w:pPr>
        <w:pStyle w:val="16"/>
        <w:ind w:firstLine="708"/>
        <w:jc w:val="both"/>
        <w:rPr>
          <w:b w:val="false"/>
          <w:b w:val="false"/>
          <w:bCs w:val="false"/>
          <w:color w:val="00000A"/>
          <w:sz w:val="24"/>
          <w:szCs w:val="24"/>
        </w:rPr>
      </w:pPr>
      <w:r>
        <w:rPr>
          <w:b w:val="false"/>
          <w:bCs w:val="false"/>
          <w:color w:val="00000A"/>
          <w:sz w:val="24"/>
          <w:szCs w:val="24"/>
        </w:rPr>
        <w:t>Забезпечення додаткових соціальних гарантій особам, які опинилися в складних життєвих обставинах на період воєнного стану надання допомоги в вигляді дров, печей «буржуйок», електрообігрівачів.</w:t>
      </w:r>
    </w:p>
    <w:p>
      <w:pPr>
        <w:pStyle w:val="16"/>
        <w:ind w:firstLine="708"/>
        <w:jc w:val="both"/>
        <w:rPr>
          <w:b w:val="false"/>
          <w:b w:val="false"/>
          <w:bCs w:val="false"/>
          <w:color w:val="00000A"/>
          <w:sz w:val="24"/>
          <w:szCs w:val="24"/>
        </w:rPr>
      </w:pPr>
      <w:r>
        <w:rPr>
          <w:b w:val="false"/>
          <w:bCs w:val="false"/>
          <w:color w:val="00000A"/>
          <w:sz w:val="24"/>
          <w:szCs w:val="24"/>
        </w:rPr>
        <w:t>Забезпечення виконання заходів з ліквідації пошкоджених житлових будівель.</w:t>
      </w:r>
    </w:p>
    <w:p>
      <w:pPr>
        <w:pStyle w:val="Normal"/>
        <w:ind w:left="720" w:hanging="0"/>
        <w:jc w:val="both"/>
        <w:rPr>
          <w:sz w:val="24"/>
          <w:szCs w:val="24"/>
          <w:lang w:val="uk-UA"/>
        </w:rPr>
      </w:pPr>
      <w:r>
        <w:rPr>
          <w:sz w:val="24"/>
          <w:szCs w:val="24"/>
          <w:lang w:val="uk-UA"/>
        </w:rPr>
      </w:r>
    </w:p>
    <w:p>
      <w:pPr>
        <w:pStyle w:val="Normal"/>
        <w:ind w:left="720" w:hanging="0"/>
        <w:jc w:val="center"/>
        <w:rPr>
          <w:sz w:val="24"/>
          <w:szCs w:val="24"/>
          <w:lang w:val="uk-UA"/>
        </w:rPr>
      </w:pPr>
      <w:r>
        <w:rPr>
          <w:sz w:val="24"/>
          <w:szCs w:val="24"/>
          <w:lang w:val="uk-UA"/>
        </w:rPr>
        <w:t>2. Визначення мети Програми</w:t>
      </w:r>
    </w:p>
    <w:p>
      <w:pPr>
        <w:pStyle w:val="Normal"/>
        <w:ind w:left="720" w:hanging="0"/>
        <w:rPr>
          <w:sz w:val="24"/>
          <w:szCs w:val="24"/>
          <w:lang w:val="uk-UA"/>
        </w:rPr>
      </w:pPr>
      <w:r>
        <w:rPr>
          <w:sz w:val="24"/>
          <w:szCs w:val="24"/>
          <w:lang w:val="uk-UA"/>
        </w:rPr>
      </w:r>
    </w:p>
    <w:p>
      <w:pPr>
        <w:pStyle w:val="BodyText3"/>
        <w:spacing w:beforeAutospacing="0" w:before="0" w:afterAutospacing="0" w:after="0"/>
        <w:ind w:firstLine="708"/>
        <w:jc w:val="both"/>
        <w:rPr>
          <w:sz w:val="24"/>
          <w:szCs w:val="24"/>
          <w:lang w:val="uk-UA"/>
        </w:rPr>
      </w:pPr>
      <w:r>
        <w:rPr>
          <w:sz w:val="24"/>
          <w:szCs w:val="24"/>
          <w:lang w:val="uk-UA" w:eastAsia="ru-RU"/>
        </w:rPr>
        <w:t>Головною</w:t>
      </w:r>
      <w:r>
        <w:rPr>
          <w:sz w:val="24"/>
          <w:szCs w:val="24"/>
          <w:lang w:val="uk-UA"/>
        </w:rPr>
        <w:t xml:space="preserve"> метою Програми є забезпечення мінімально достатнього рівня безпеки населення і територій Слов’янської міської територіальної громади та ефективних дій щодо попередження і реагування на надзвичайні ситуації техногенного, природного та воєнного характеру, рятування людей на водних об’єктах.</w:t>
      </w:r>
    </w:p>
    <w:p>
      <w:pPr>
        <w:pStyle w:val="Normal"/>
        <w:jc w:val="both"/>
        <w:rPr>
          <w:color w:val="FF0000"/>
          <w:sz w:val="24"/>
          <w:szCs w:val="24"/>
          <w:lang w:val="uk-UA"/>
        </w:rPr>
      </w:pPr>
      <w:r>
        <w:rPr>
          <w:color w:val="FF0000"/>
          <w:sz w:val="24"/>
          <w:szCs w:val="24"/>
          <w:lang w:val="uk-UA"/>
        </w:rPr>
      </w:r>
    </w:p>
    <w:p>
      <w:pPr>
        <w:pStyle w:val="Normal"/>
        <w:jc w:val="center"/>
        <w:rPr>
          <w:sz w:val="24"/>
          <w:szCs w:val="24"/>
          <w:lang w:val="uk-UA"/>
        </w:rPr>
      </w:pPr>
      <w:r>
        <w:rPr>
          <w:sz w:val="24"/>
          <w:szCs w:val="24"/>
          <w:lang w:val="uk-UA"/>
        </w:rPr>
        <w:t>3. Обґрунтування шляхів і засобів розв’язання проблеми, обсягів та джерел фінансування, строків виконання Програми</w:t>
      </w:r>
    </w:p>
    <w:p>
      <w:pPr>
        <w:pStyle w:val="Normal"/>
        <w:jc w:val="center"/>
        <w:rPr>
          <w:sz w:val="24"/>
          <w:szCs w:val="24"/>
          <w:lang w:val="uk-UA"/>
        </w:rPr>
      </w:pPr>
      <w:r>
        <w:rPr>
          <w:sz w:val="24"/>
          <w:szCs w:val="24"/>
          <w:lang w:val="uk-UA"/>
        </w:rPr>
      </w:r>
    </w:p>
    <w:p>
      <w:pPr>
        <w:pStyle w:val="BodyText3"/>
        <w:spacing w:before="0" w:after="0"/>
        <w:ind w:firstLine="708"/>
        <w:jc w:val="both"/>
        <w:rPr>
          <w:sz w:val="24"/>
          <w:szCs w:val="24"/>
          <w:lang w:val="uk-UA" w:eastAsia="ru-RU"/>
        </w:rPr>
      </w:pPr>
      <w:r>
        <w:rPr>
          <w:sz w:val="24"/>
          <w:szCs w:val="24"/>
          <w:lang w:val="uk-UA" w:eastAsia="ru-RU"/>
        </w:rPr>
        <w:t>Програма розроблена і фінансується у межах коштів, передбачених у бюджеті Слов’янської міської територіальної громади на 2024 рік.</w:t>
      </w:r>
    </w:p>
    <w:p>
      <w:pPr>
        <w:pStyle w:val="BodyText3"/>
        <w:spacing w:before="0" w:after="0"/>
        <w:ind w:firstLine="708"/>
        <w:rPr>
          <w:sz w:val="24"/>
          <w:szCs w:val="24"/>
          <w:lang w:val="uk-UA" w:eastAsia="ru-RU"/>
        </w:rPr>
      </w:pPr>
      <w:r>
        <w:rPr>
          <w:sz w:val="24"/>
          <w:szCs w:val="24"/>
          <w:lang w:val="uk-UA" w:eastAsia="ru-RU"/>
        </w:rPr>
        <w:tab/>
        <w:t>Реалізація завдань Програми забезпечується шляхом виконання щорічних програмних заходів.</w:t>
      </w:r>
    </w:p>
    <w:p>
      <w:pPr>
        <w:pStyle w:val="BodyText3"/>
        <w:spacing w:before="0" w:after="0"/>
        <w:ind w:firstLine="708"/>
        <w:rPr>
          <w:color w:val="FF0000"/>
          <w:lang w:val="uk-UA"/>
        </w:rPr>
      </w:pPr>
      <w:r>
        <w:rPr>
          <w:color w:val="FF0000"/>
          <w:lang w:val="uk-UA"/>
        </w:rPr>
      </w:r>
    </w:p>
    <w:p>
      <w:pPr>
        <w:pStyle w:val="Normal"/>
        <w:jc w:val="center"/>
        <w:rPr>
          <w:sz w:val="24"/>
          <w:szCs w:val="24"/>
          <w:lang w:val="uk-UA"/>
        </w:rPr>
      </w:pPr>
      <w:r>
        <w:rPr>
          <w:sz w:val="24"/>
          <w:szCs w:val="24"/>
          <w:lang w:val="uk-UA"/>
        </w:rPr>
        <w:t>4. Перелік завдань і заходів Програми</w:t>
      </w:r>
    </w:p>
    <w:p>
      <w:pPr>
        <w:pStyle w:val="Normal"/>
        <w:jc w:val="center"/>
        <w:rPr>
          <w:color w:val="FF0000"/>
          <w:sz w:val="24"/>
          <w:szCs w:val="24"/>
          <w:lang w:val="uk-UA"/>
        </w:rPr>
      </w:pPr>
      <w:r>
        <w:rPr>
          <w:color w:val="FF0000"/>
          <w:sz w:val="24"/>
          <w:szCs w:val="24"/>
          <w:lang w:val="uk-UA"/>
        </w:rPr>
      </w:r>
    </w:p>
    <w:p>
      <w:pPr>
        <w:pStyle w:val="BodyText3"/>
        <w:spacing w:before="0" w:after="0"/>
        <w:ind w:firstLine="708"/>
        <w:rPr>
          <w:sz w:val="24"/>
          <w:szCs w:val="24"/>
          <w:lang w:val="uk-UA"/>
        </w:rPr>
      </w:pPr>
      <w:r>
        <w:rPr>
          <w:sz w:val="24"/>
          <w:szCs w:val="24"/>
          <w:lang w:val="uk-UA" w:eastAsia="ru-RU"/>
        </w:rPr>
        <w:t>Для</w:t>
      </w:r>
      <w:r>
        <w:rPr>
          <w:sz w:val="24"/>
          <w:szCs w:val="24"/>
          <w:lang w:val="uk-UA"/>
        </w:rPr>
        <w:t xml:space="preserve"> забезпечення заходів з питань цивільного захисту необхідно виконати наступні основні завдання:</w:t>
      </w:r>
    </w:p>
    <w:p>
      <w:pPr>
        <w:pStyle w:val="16"/>
        <w:jc w:val="both"/>
        <w:rPr>
          <w:b w:val="false"/>
          <w:b w:val="false"/>
          <w:bCs w:val="false"/>
          <w:color w:val="00000A"/>
          <w:sz w:val="24"/>
          <w:szCs w:val="24"/>
        </w:rPr>
      </w:pPr>
      <w:r>
        <w:rPr>
          <w:b w:val="false"/>
          <w:bCs w:val="false"/>
          <w:color w:val="00000A"/>
          <w:sz w:val="24"/>
          <w:szCs w:val="24"/>
        </w:rPr>
        <w:tab/>
        <w:t>-  удосконалення системи реагування на надзвичайні ситуації шляхом збільшення закладки матеріально-технічних засобів в місцевий та об’єктові резерви для попередження, ліквідації надзвичайних ситуацій та життєзабезпечення постраждалого населення;</w:t>
      </w:r>
    </w:p>
    <w:p>
      <w:pPr>
        <w:pStyle w:val="16"/>
        <w:jc w:val="both"/>
        <w:rPr>
          <w:b w:val="false"/>
          <w:b w:val="false"/>
          <w:bCs w:val="false"/>
          <w:color w:val="00000A"/>
          <w:sz w:val="24"/>
          <w:szCs w:val="24"/>
        </w:rPr>
      </w:pPr>
      <w:r>
        <w:rPr>
          <w:b w:val="false"/>
          <w:bCs w:val="false"/>
          <w:color w:val="00000A"/>
          <w:sz w:val="24"/>
          <w:szCs w:val="24"/>
        </w:rPr>
        <w:tab/>
        <w:t>- приведення наявного фонду захисних споруд цивільного захисту у готовність для використання за призначенням;</w:t>
      </w:r>
    </w:p>
    <w:p>
      <w:pPr>
        <w:pStyle w:val="16"/>
        <w:jc w:val="both"/>
        <w:rPr>
          <w:b w:val="false"/>
          <w:b w:val="false"/>
          <w:bCs w:val="false"/>
          <w:color w:val="00000A"/>
          <w:sz w:val="24"/>
          <w:szCs w:val="24"/>
        </w:rPr>
      </w:pPr>
      <w:r>
        <w:rPr>
          <w:b w:val="false"/>
          <w:bCs w:val="false"/>
          <w:color w:val="00000A"/>
          <w:sz w:val="24"/>
          <w:szCs w:val="24"/>
        </w:rPr>
        <w:tab/>
        <w:t>- обладнання найпростіших укриттів;</w:t>
      </w:r>
    </w:p>
    <w:p>
      <w:pPr>
        <w:pStyle w:val="16"/>
        <w:jc w:val="both"/>
        <w:rPr>
          <w:b w:val="false"/>
          <w:b w:val="false"/>
          <w:bCs w:val="false"/>
          <w:color w:val="00000A"/>
          <w:sz w:val="24"/>
          <w:szCs w:val="24"/>
        </w:rPr>
      </w:pPr>
      <w:r>
        <w:rPr>
          <w:b w:val="false"/>
          <w:bCs w:val="false"/>
          <w:color w:val="00000A"/>
          <w:sz w:val="24"/>
          <w:szCs w:val="24"/>
        </w:rPr>
        <w:tab/>
        <w:t>- обладнання захисних споруд та найпростіших укриттів для перебування в них осіб з інвалідністю;</w:t>
      </w:r>
    </w:p>
    <w:p>
      <w:pPr>
        <w:pStyle w:val="16"/>
        <w:jc w:val="both"/>
        <w:rPr>
          <w:b w:val="false"/>
          <w:b w:val="false"/>
          <w:bCs w:val="false"/>
          <w:color w:val="00000A"/>
          <w:sz w:val="24"/>
          <w:szCs w:val="24"/>
        </w:rPr>
      </w:pPr>
      <w:r>
        <w:rPr>
          <w:b w:val="false"/>
          <w:bCs w:val="false"/>
          <w:color w:val="00000A"/>
          <w:sz w:val="24"/>
          <w:szCs w:val="24"/>
        </w:rPr>
        <w:tab/>
        <w:t>-  забезпечення засобами індивідуального захисту;</w:t>
      </w:r>
    </w:p>
    <w:p>
      <w:pPr>
        <w:pStyle w:val="16"/>
        <w:jc w:val="both"/>
        <w:rPr>
          <w:b w:val="false"/>
          <w:b w:val="false"/>
          <w:bCs w:val="false"/>
          <w:color w:val="00000A"/>
          <w:sz w:val="24"/>
          <w:szCs w:val="24"/>
        </w:rPr>
      </w:pPr>
      <w:r>
        <w:rPr>
          <w:b w:val="false"/>
          <w:bCs w:val="false"/>
          <w:color w:val="00000A"/>
          <w:sz w:val="24"/>
          <w:szCs w:val="24"/>
        </w:rPr>
        <w:tab/>
        <w:t>- забезпечення матеріально-технічного оснащення запасного пункту управління;</w:t>
      </w:r>
    </w:p>
    <w:p>
      <w:pPr>
        <w:pStyle w:val="16"/>
        <w:jc w:val="both"/>
        <w:rPr>
          <w:b w:val="false"/>
          <w:b w:val="false"/>
          <w:bCs w:val="false"/>
          <w:color w:val="00000A"/>
          <w:sz w:val="24"/>
          <w:szCs w:val="24"/>
        </w:rPr>
      </w:pPr>
      <w:r>
        <w:rPr>
          <w:b w:val="false"/>
          <w:bCs w:val="false"/>
          <w:color w:val="00000A"/>
          <w:sz w:val="24"/>
          <w:szCs w:val="24"/>
        </w:rPr>
        <w:tab/>
        <w:t xml:space="preserve">-  створення місцевої системи автоматизованого централізованого оповіщення; </w:t>
      </w:r>
    </w:p>
    <w:p>
      <w:pPr>
        <w:pStyle w:val="16"/>
        <w:jc w:val="both"/>
        <w:rPr>
          <w:b w:val="false"/>
          <w:b w:val="false"/>
          <w:bCs w:val="false"/>
          <w:color w:val="00000A"/>
          <w:sz w:val="24"/>
          <w:szCs w:val="24"/>
        </w:rPr>
      </w:pPr>
      <w:r>
        <w:rPr>
          <w:b w:val="false"/>
          <w:bCs w:val="false"/>
          <w:color w:val="00000A"/>
          <w:sz w:val="24"/>
          <w:szCs w:val="24"/>
        </w:rPr>
        <w:tab/>
        <w:t xml:space="preserve">- навчання та інформування населення щодо порядку дій при виникненні надзвичайної ситуації (небезпечної події) або її загрозі; </w:t>
      </w:r>
    </w:p>
    <w:p>
      <w:pPr>
        <w:pStyle w:val="16"/>
        <w:jc w:val="both"/>
        <w:rPr>
          <w:b w:val="false"/>
          <w:b w:val="false"/>
          <w:bCs w:val="false"/>
          <w:color w:val="00000A"/>
          <w:sz w:val="24"/>
          <w:szCs w:val="24"/>
        </w:rPr>
      </w:pPr>
      <w:r>
        <w:rPr>
          <w:b w:val="false"/>
          <w:bCs w:val="false"/>
          <w:color w:val="00000A"/>
          <w:sz w:val="24"/>
          <w:szCs w:val="24"/>
        </w:rPr>
        <w:tab/>
        <w:t xml:space="preserve">- функціональне навчання керівного складу та фахівців, діяльність яких пов’язана з організацією і здійсненням заходів з цивільного захисту; </w:t>
      </w:r>
    </w:p>
    <w:p>
      <w:pPr>
        <w:pStyle w:val="16"/>
        <w:jc w:val="both"/>
        <w:rPr>
          <w:b w:val="false"/>
          <w:b w:val="false"/>
          <w:bCs w:val="false"/>
          <w:color w:val="00000A"/>
          <w:sz w:val="24"/>
          <w:szCs w:val="24"/>
        </w:rPr>
      </w:pPr>
      <w:r>
        <w:rPr>
          <w:b w:val="false"/>
          <w:bCs w:val="false"/>
          <w:color w:val="00000A"/>
          <w:sz w:val="24"/>
          <w:szCs w:val="24"/>
        </w:rPr>
        <w:tab/>
        <w:t xml:space="preserve">-  удосконалення учбово-матеріальної бази консультаційних пунктів з питань цивільного захисту; </w:t>
      </w:r>
    </w:p>
    <w:p>
      <w:pPr>
        <w:pStyle w:val="16"/>
        <w:jc w:val="both"/>
        <w:rPr>
          <w:b w:val="false"/>
          <w:b w:val="false"/>
          <w:bCs w:val="false"/>
          <w:color w:val="00000A"/>
          <w:sz w:val="24"/>
          <w:szCs w:val="24"/>
        </w:rPr>
      </w:pPr>
      <w:r>
        <w:rPr>
          <w:b w:val="false"/>
          <w:bCs w:val="false"/>
          <w:color w:val="00000A"/>
          <w:sz w:val="24"/>
          <w:szCs w:val="24"/>
        </w:rPr>
        <w:tab/>
        <w:t>-  пропаганди знань з питань цивільного захисту серед непрацюючого населення міста;</w:t>
      </w:r>
    </w:p>
    <w:p>
      <w:pPr>
        <w:pStyle w:val="16"/>
        <w:jc w:val="both"/>
        <w:rPr>
          <w:b w:val="false"/>
          <w:b w:val="false"/>
          <w:bCs w:val="false"/>
          <w:color w:val="00000A"/>
          <w:sz w:val="24"/>
          <w:szCs w:val="24"/>
        </w:rPr>
      </w:pPr>
      <w:r>
        <w:rPr>
          <w:b w:val="false"/>
          <w:bCs w:val="false"/>
          <w:color w:val="00000A"/>
          <w:sz w:val="24"/>
          <w:szCs w:val="24"/>
        </w:rPr>
        <w:tab/>
        <w:t>- організації рятування людей на водних об’єктах громади;</w:t>
      </w:r>
    </w:p>
    <w:p>
      <w:pPr>
        <w:pStyle w:val="Normal"/>
        <w:suppressAutoHyphens w:val="false"/>
        <w:jc w:val="both"/>
        <w:rPr>
          <w:color w:val="111111"/>
          <w:sz w:val="24"/>
          <w:szCs w:val="24"/>
          <w:lang w:val="uk-UA"/>
        </w:rPr>
      </w:pPr>
      <w:r>
        <w:rPr>
          <w:sz w:val="24"/>
          <w:szCs w:val="24"/>
          <w:lang w:val="uk-UA" w:eastAsia="uk-UA"/>
        </w:rPr>
        <w:tab/>
        <w:t xml:space="preserve">- здійснення </w:t>
      </w:r>
      <w:r>
        <w:rPr>
          <w:color w:val="111111"/>
          <w:sz w:val="24"/>
          <w:szCs w:val="24"/>
          <w:lang w:val="uk-UA"/>
        </w:rPr>
        <w:t>заходів з підготовки міста до життя в умовах складних ситуацій: пунктами обігріву, печами «буржуйками», електрообігрівачами, дровами;</w:t>
      </w:r>
    </w:p>
    <w:p>
      <w:pPr>
        <w:pStyle w:val="Normal"/>
        <w:suppressAutoHyphens w:val="false"/>
        <w:jc w:val="both"/>
        <w:rPr>
          <w:color w:val="111111"/>
          <w:sz w:val="24"/>
          <w:szCs w:val="24"/>
          <w:lang w:val="uk-UA"/>
        </w:rPr>
      </w:pPr>
      <w:r>
        <w:rPr>
          <w:color w:val="111111"/>
          <w:sz w:val="24"/>
          <w:szCs w:val="24"/>
          <w:lang w:val="uk-UA"/>
        </w:rPr>
        <w:tab/>
        <w:t>- здійснення заходів з ліквідації ворожих обстрілів.</w:t>
      </w:r>
    </w:p>
    <w:p>
      <w:pPr>
        <w:pStyle w:val="Normal"/>
        <w:suppressAutoHyphens w:val="false"/>
        <w:jc w:val="both"/>
        <w:rPr>
          <w:color w:val="FF0000"/>
          <w:sz w:val="24"/>
          <w:szCs w:val="24"/>
          <w:lang w:val="uk-UA"/>
        </w:rPr>
      </w:pPr>
      <w:r>
        <w:rPr>
          <w:sz w:val="24"/>
          <w:szCs w:val="24"/>
          <w:lang w:val="uk-UA"/>
        </w:rPr>
        <w:t>Для виконання завдань з територіальної оборони щодо відсічі збройної агресії, забезпечення недоторканності державного кордону та захисту держави</w:t>
      </w:r>
    </w:p>
    <w:p>
      <w:pPr>
        <w:pStyle w:val="16"/>
        <w:ind w:firstLine="708"/>
        <w:jc w:val="both"/>
        <w:rPr/>
      </w:pPr>
      <w:r>
        <w:rPr>
          <w:b w:val="false"/>
          <w:bCs w:val="false"/>
          <w:color w:val="00000A"/>
          <w:sz w:val="24"/>
          <w:szCs w:val="24"/>
        </w:rPr>
        <w:t>Реалізація програмних заходів дозволить знизити бюджетні витрати на попередження, ліквідацію надзвичайних ситуацій та їх наслідків, зменшити середньорічні збитки населення від їх негативного впливу і витрати на компенсацію постраждалим, створювати додаткові умови для подальшого економічного і соціального розвитку громади. Це уявляється важливим ще й тому, що витрати на реалізацію таких заходів майже у 15 разів менше витрат на ліквідацію наслідків надзвичайних ситуацій.</w:t>
      </w:r>
    </w:p>
    <w:p>
      <w:pPr>
        <w:pStyle w:val="16"/>
        <w:ind w:firstLine="708"/>
        <w:jc w:val="both"/>
        <w:rPr>
          <w:b w:val="false"/>
          <w:b w:val="false"/>
          <w:bCs w:val="false"/>
          <w:color w:val="00000A"/>
          <w:sz w:val="24"/>
          <w:szCs w:val="24"/>
        </w:rPr>
      </w:pPr>
      <w:r>
        <w:rPr>
          <w:b w:val="false"/>
          <w:bCs w:val="false"/>
          <w:color w:val="00000A"/>
          <w:sz w:val="24"/>
          <w:szCs w:val="24"/>
        </w:rPr>
        <w:t xml:space="preserve">Реалізація завдань Програми забезпечується шляхом виконання програмних заходів. </w:t>
      </w:r>
    </w:p>
    <w:p>
      <w:pPr>
        <w:pStyle w:val="16"/>
        <w:ind w:firstLine="708"/>
        <w:jc w:val="both"/>
        <w:rPr/>
      </w:pPr>
      <w:r>
        <w:rPr>
          <w:b w:val="false"/>
          <w:bCs w:val="false"/>
          <w:color w:val="00000A"/>
          <w:sz w:val="24"/>
          <w:szCs w:val="24"/>
        </w:rPr>
        <w:t>Відділ з питань цивільного захисту, мобілізаційної та оборонної роботи Слов’янської міської ВА з урахуванням коштів, які щорічно виділяються на реалізацію Програми, уточнює заходи, проміжні терміни їх виконання та обсяги фінансування.</w:t>
      </w:r>
    </w:p>
    <w:p>
      <w:pPr>
        <w:pStyle w:val="Normal"/>
        <w:jc w:val="both"/>
        <w:rPr>
          <w:sz w:val="24"/>
          <w:szCs w:val="24"/>
          <w:lang w:val="uk-UA"/>
        </w:rPr>
      </w:pPr>
      <w:r>
        <w:rPr>
          <w:color w:val="FF0000"/>
          <w:sz w:val="24"/>
          <w:szCs w:val="24"/>
          <w:lang w:val="uk-UA"/>
        </w:rPr>
        <w:t xml:space="preserve">            </w:t>
      </w:r>
      <w:r>
        <w:rPr>
          <w:sz w:val="24"/>
          <w:szCs w:val="24"/>
          <w:lang w:val="uk-UA"/>
        </w:rPr>
        <w:t>Завдання та заходи Програми наведені у додатку (додається).</w:t>
      </w:r>
    </w:p>
    <w:p>
      <w:pPr>
        <w:pStyle w:val="Normal"/>
        <w:jc w:val="both"/>
        <w:rPr>
          <w:color w:val="FF0000"/>
          <w:sz w:val="28"/>
          <w:szCs w:val="28"/>
          <w:lang w:val="uk-UA"/>
        </w:rPr>
      </w:pPr>
      <w:r>
        <w:rPr>
          <w:color w:val="FF0000"/>
          <w:sz w:val="28"/>
          <w:szCs w:val="28"/>
          <w:lang w:val="uk-UA"/>
        </w:rPr>
      </w:r>
    </w:p>
    <w:p>
      <w:pPr>
        <w:pStyle w:val="Normal"/>
        <w:jc w:val="center"/>
        <w:rPr>
          <w:sz w:val="24"/>
          <w:szCs w:val="24"/>
          <w:lang w:val="uk-UA"/>
        </w:rPr>
      </w:pPr>
      <w:r>
        <w:rPr>
          <w:sz w:val="24"/>
          <w:szCs w:val="24"/>
          <w:lang w:val="uk-UA"/>
        </w:rPr>
        <w:t xml:space="preserve">5. </w:t>
      </w:r>
      <w:r>
        <w:rPr>
          <w:color w:val="000000"/>
          <w:sz w:val="24"/>
          <w:szCs w:val="24"/>
          <w:lang w:val="uk-UA"/>
        </w:rPr>
        <w:t>Очікувані результати виконання Програми та її ефективність</w:t>
      </w:r>
    </w:p>
    <w:p>
      <w:pPr>
        <w:pStyle w:val="Normal"/>
        <w:jc w:val="center"/>
        <w:rPr>
          <w:color w:val="FF0000"/>
          <w:sz w:val="24"/>
          <w:szCs w:val="24"/>
          <w:lang w:val="uk-UA"/>
        </w:rPr>
      </w:pPr>
      <w:r>
        <w:rPr>
          <w:color w:val="FF0000"/>
          <w:sz w:val="24"/>
          <w:szCs w:val="24"/>
          <w:lang w:val="uk-UA"/>
        </w:rPr>
      </w:r>
    </w:p>
    <w:p>
      <w:pPr>
        <w:pStyle w:val="16"/>
        <w:ind w:firstLine="708"/>
        <w:jc w:val="both"/>
        <w:rPr>
          <w:b w:val="false"/>
          <w:b w:val="false"/>
          <w:bCs w:val="false"/>
          <w:color w:val="00000A"/>
          <w:sz w:val="24"/>
          <w:szCs w:val="24"/>
        </w:rPr>
      </w:pPr>
      <w:r>
        <w:rPr>
          <w:color w:val="FF0000"/>
          <w:sz w:val="24"/>
          <w:szCs w:val="24"/>
        </w:rPr>
        <w:tab/>
      </w:r>
      <w:r>
        <w:rPr>
          <w:b w:val="false"/>
          <w:bCs w:val="false"/>
          <w:color w:val="00000A"/>
          <w:sz w:val="24"/>
          <w:szCs w:val="24"/>
        </w:rPr>
        <w:t xml:space="preserve">В результаті виконання Програми буде забезпечено належний рівень безпеки населення і територій громади, підготовлені органи управління та сили місцевої ланки територіальної підсистеми єдиної державної системи цивільного захисту </w:t>
      </w:r>
      <w:r>
        <w:rPr>
          <w:b w:val="false"/>
          <w:bCs w:val="false"/>
          <w:sz w:val="24"/>
          <w:szCs w:val="24"/>
        </w:rPr>
        <w:t>Слов’янської міської територіальної громади</w:t>
      </w:r>
      <w:r>
        <w:rPr>
          <w:b w:val="false"/>
          <w:bCs w:val="false"/>
          <w:color w:val="00000A"/>
          <w:sz w:val="24"/>
          <w:szCs w:val="24"/>
        </w:rPr>
        <w:t xml:space="preserve">. </w:t>
      </w:r>
    </w:p>
    <w:p>
      <w:pPr>
        <w:pStyle w:val="Normal"/>
        <w:jc w:val="both"/>
        <w:rPr>
          <w:color w:val="FF0000"/>
          <w:sz w:val="24"/>
          <w:szCs w:val="24"/>
          <w:lang w:val="uk-UA"/>
        </w:rPr>
      </w:pPr>
      <w:r>
        <w:rPr>
          <w:sz w:val="24"/>
          <w:szCs w:val="24"/>
          <w:lang w:val="uk-UA"/>
        </w:rPr>
        <w:t>Виконання заходів Програми дозволить при дефіциті ресурсів сконцентрувати їх на головних напрямах, визначених Програмою, забезпечити стабільне підвищення готовності щодо попередженню, протидії надзвичайним ситуаціям, підготовку до дій при їх виникненні, створення матеріальних резервів для ліквідації їх наслідків, зменшити збитки від негативного впливу надзвичайних ситуацій та витрати на компенсацію постраждалим та створення додаткових умов для подальшого економічного і соціального розвитку Слов’янської міської територіальної громади.</w:t>
      </w:r>
    </w:p>
    <w:p>
      <w:pPr>
        <w:pStyle w:val="Normal"/>
        <w:jc w:val="both"/>
        <w:rPr>
          <w:color w:val="FF0000"/>
          <w:sz w:val="24"/>
          <w:szCs w:val="24"/>
          <w:lang w:val="uk-UA"/>
        </w:rPr>
      </w:pPr>
      <w:r>
        <w:rPr>
          <w:color w:val="FF0000"/>
          <w:sz w:val="24"/>
          <w:szCs w:val="24"/>
          <w:lang w:val="uk-UA"/>
        </w:rPr>
      </w:r>
    </w:p>
    <w:p>
      <w:pPr>
        <w:pStyle w:val="Normal"/>
        <w:jc w:val="center"/>
        <w:rPr>
          <w:sz w:val="24"/>
          <w:szCs w:val="24"/>
          <w:lang w:val="uk-UA"/>
        </w:rPr>
      </w:pPr>
      <w:r>
        <w:rPr>
          <w:sz w:val="24"/>
          <w:szCs w:val="24"/>
          <w:lang w:val="uk-UA"/>
        </w:rPr>
        <w:t>6. Координація та контроль за ходом виконання Програми</w:t>
      </w:r>
    </w:p>
    <w:p>
      <w:pPr>
        <w:pStyle w:val="Normal"/>
        <w:ind w:left="720" w:hanging="0"/>
        <w:rPr>
          <w:color w:val="FF0000"/>
          <w:lang w:val="uk-UA"/>
        </w:rPr>
      </w:pPr>
      <w:r>
        <w:rPr>
          <w:color w:val="FF0000"/>
          <w:lang w:val="uk-UA"/>
        </w:rPr>
      </w:r>
    </w:p>
    <w:p>
      <w:pPr>
        <w:pStyle w:val="16"/>
        <w:ind w:firstLine="708"/>
        <w:jc w:val="both"/>
        <w:rPr>
          <w:b w:val="false"/>
          <w:b w:val="false"/>
          <w:bCs w:val="false"/>
          <w:color w:val="00000A"/>
          <w:sz w:val="24"/>
          <w:szCs w:val="24"/>
        </w:rPr>
      </w:pPr>
      <w:r>
        <w:rPr>
          <w:b w:val="false"/>
          <w:bCs w:val="false"/>
          <w:color w:val="00000A"/>
          <w:sz w:val="24"/>
          <w:szCs w:val="24"/>
        </w:rPr>
        <w:t>Загальне керівництво та контроль за ходом реалізації Програми здійснює відділ з питань цивільного захисту, мобілізаційної та оборонної роботи Слов’янської міської ВА.</w:t>
      </w:r>
    </w:p>
    <w:p>
      <w:pPr>
        <w:pStyle w:val="16"/>
        <w:ind w:firstLine="708"/>
        <w:jc w:val="both"/>
        <w:rPr>
          <w:b w:val="false"/>
          <w:b w:val="false"/>
          <w:bCs w:val="false"/>
          <w:color w:val="00000A"/>
          <w:sz w:val="24"/>
          <w:szCs w:val="24"/>
        </w:rPr>
      </w:pPr>
      <w:r>
        <w:rPr>
          <w:b w:val="false"/>
          <w:bCs w:val="false"/>
          <w:color w:val="00000A"/>
          <w:sz w:val="24"/>
          <w:szCs w:val="24"/>
        </w:rPr>
        <w:t>Контроль за використанням бюджетних коштів, направлених на забезпечення виконання Програми, здійснюється в порядку, встановленому бюджетним законодавством.</w:t>
      </w:r>
    </w:p>
    <w:p>
      <w:pPr>
        <w:pStyle w:val="16"/>
        <w:ind w:firstLine="708"/>
        <w:jc w:val="both"/>
        <w:rPr>
          <w:b w:val="false"/>
          <w:b w:val="false"/>
          <w:bCs w:val="false"/>
          <w:color w:val="00000A"/>
          <w:sz w:val="24"/>
          <w:szCs w:val="24"/>
        </w:rPr>
      </w:pPr>
      <w:r>
        <w:rPr>
          <w:b w:val="false"/>
          <w:bCs w:val="false"/>
          <w:color w:val="00000A"/>
          <w:sz w:val="24"/>
          <w:szCs w:val="24"/>
        </w:rPr>
        <w:t>Відділ з питань цивільного захисту, мобілізаційної та оборонної роботи Слов’янської міської ВА надає начальнику Слов’янської міської військової адміністрації у встановленому порядку звіти про хід виконання Програми.</w:t>
      </w:r>
    </w:p>
    <w:p>
      <w:pPr>
        <w:pStyle w:val="16"/>
        <w:ind w:firstLine="708"/>
        <w:jc w:val="both"/>
        <w:rPr>
          <w:b w:val="false"/>
          <w:b w:val="false"/>
          <w:bCs w:val="false"/>
          <w:color w:val="00000A"/>
          <w:sz w:val="24"/>
          <w:szCs w:val="24"/>
        </w:rPr>
      </w:pPr>
      <w:r>
        <w:rPr>
          <w:b w:val="false"/>
          <w:bCs w:val="false"/>
          <w:color w:val="00000A"/>
          <w:sz w:val="24"/>
          <w:szCs w:val="24"/>
        </w:rPr>
        <w:t>Відділ з питань цивільного захисту, мобілізаційної та оборонної роботи Слов’янської міської ВА забезпечує методичний супровід розробки і реалізації відповідних місцевих програм з урахуванням особливостей і стану техногенної і природної небезпеки громади.</w:t>
      </w:r>
    </w:p>
    <w:p>
      <w:pPr>
        <w:pStyle w:val="Normal"/>
        <w:ind w:firstLine="708"/>
        <w:jc w:val="both"/>
        <w:rPr>
          <w:sz w:val="24"/>
          <w:szCs w:val="24"/>
          <w:lang w:val="uk-UA"/>
        </w:rPr>
      </w:pPr>
      <w:r>
        <w:rPr>
          <w:sz w:val="24"/>
          <w:szCs w:val="24"/>
          <w:lang w:val="uk-UA"/>
        </w:rPr>
        <w:t>Програма із запобігання та ліквідації надзвичайних ситуацій, наслідків стихійного лиха та воєнних дій на території Слов’янської міської територіальної громади на 2024 рік підготовлена відділом з питань цивільного захисту, мобілізаційної та оборонної роботи Слов’янської міської ВА.</w:t>
      </w:r>
    </w:p>
    <w:p>
      <w:pPr>
        <w:pStyle w:val="Normal"/>
        <w:ind w:firstLine="708"/>
        <w:jc w:val="both"/>
        <w:rPr>
          <w:sz w:val="24"/>
          <w:szCs w:val="24"/>
          <w:lang w:val="uk-UA"/>
        </w:rPr>
      </w:pPr>
      <w:r>
        <w:rPr>
          <w:sz w:val="24"/>
          <w:szCs w:val="24"/>
          <w:lang w:val="uk-UA"/>
        </w:rPr>
      </w:r>
    </w:p>
    <w:p>
      <w:pPr>
        <w:pStyle w:val="Normal"/>
        <w:ind w:firstLine="708"/>
        <w:jc w:val="both"/>
        <w:rPr>
          <w:sz w:val="24"/>
          <w:szCs w:val="24"/>
          <w:lang w:val="uk-UA"/>
        </w:rPr>
      </w:pPr>
      <w:r>
        <w:rPr>
          <w:sz w:val="24"/>
          <w:szCs w:val="24"/>
          <w:lang w:val="uk-UA"/>
        </w:rPr>
      </w:r>
    </w:p>
    <w:p>
      <w:pPr>
        <w:pStyle w:val="Normal"/>
        <w:ind w:firstLine="708"/>
        <w:jc w:val="both"/>
        <w:rPr>
          <w:sz w:val="24"/>
          <w:szCs w:val="24"/>
          <w:lang w:val="uk-UA"/>
        </w:rPr>
      </w:pPr>
      <w:r>
        <w:rPr>
          <w:sz w:val="24"/>
          <w:szCs w:val="24"/>
          <w:lang w:val="uk-UA"/>
        </w:rPr>
      </w:r>
    </w:p>
    <w:p>
      <w:pPr>
        <w:pStyle w:val="16"/>
        <w:jc w:val="both"/>
        <w:rPr>
          <w:b w:val="false"/>
          <w:b w:val="false"/>
          <w:bCs w:val="false"/>
          <w:color w:val="00000A"/>
          <w:sz w:val="24"/>
          <w:szCs w:val="24"/>
        </w:rPr>
      </w:pPr>
      <w:r>
        <w:rPr>
          <w:b w:val="false"/>
          <w:bCs w:val="false"/>
          <w:color w:val="00000A"/>
          <w:sz w:val="24"/>
          <w:szCs w:val="24"/>
        </w:rPr>
        <w:t xml:space="preserve">В.о. начальника відділу з питань цивільного захисту, </w:t>
      </w:r>
    </w:p>
    <w:p>
      <w:pPr>
        <w:pStyle w:val="16"/>
        <w:jc w:val="both"/>
        <w:rPr>
          <w:b w:val="false"/>
          <w:b w:val="false"/>
          <w:bCs w:val="false"/>
          <w:color w:val="00000A"/>
          <w:sz w:val="24"/>
          <w:szCs w:val="24"/>
        </w:rPr>
      </w:pPr>
      <w:r>
        <w:rPr>
          <w:b w:val="false"/>
          <w:bCs w:val="false"/>
          <w:color w:val="00000A"/>
          <w:sz w:val="24"/>
          <w:szCs w:val="24"/>
        </w:rPr>
        <w:t>мобілізаційної та оборонної роботи</w:t>
      </w:r>
    </w:p>
    <w:p>
      <w:pPr>
        <w:sectPr>
          <w:headerReference w:type="default" r:id="rId2"/>
          <w:type w:val="nextPage"/>
          <w:pgSz w:w="11906" w:h="16838"/>
          <w:pgMar w:left="1701" w:right="567" w:header="708" w:top="1134" w:footer="0" w:bottom="1134" w:gutter="0"/>
          <w:pgNumType w:fmt="decimal"/>
          <w:formProt w:val="false"/>
          <w:textDirection w:val="lrTb"/>
          <w:docGrid w:type="default" w:linePitch="240" w:charSpace="2047"/>
        </w:sectPr>
        <w:pStyle w:val="Normal"/>
        <w:spacing w:before="0" w:after="200"/>
        <w:jc w:val="both"/>
        <w:rPr>
          <w:b/>
          <w:b/>
          <w:bCs/>
          <w:sz w:val="24"/>
          <w:szCs w:val="24"/>
          <w:lang w:val="uk-UA"/>
        </w:rPr>
      </w:pPr>
      <w:r>
        <w:rPr>
          <w:sz w:val="24"/>
          <w:szCs w:val="24"/>
          <w:lang w:val="uk-UA"/>
        </w:rPr>
        <w:t>Слов’янської міської ВА</w:t>
        <w:tab/>
        <w:tab/>
        <w:tab/>
        <w:t xml:space="preserve">                                                           Валерій НОВАК   </w:t>
      </w:r>
    </w:p>
    <w:p>
      <w:pPr>
        <w:pStyle w:val="Normal"/>
        <w:jc w:val="both"/>
        <w:rPr>
          <w:sz w:val="24"/>
          <w:szCs w:val="24"/>
          <w:lang w:val="uk-UA"/>
        </w:rPr>
      </w:pPr>
      <w:r>
        <w:rPr>
          <w:sz w:val="24"/>
          <w:szCs w:val="24"/>
          <w:lang w:val="uk-UA"/>
        </w:rPr>
        <w:tab/>
        <w:tab/>
        <w:tab/>
        <w:tab/>
        <w:tab/>
        <w:tab/>
        <w:tab/>
        <w:tab/>
        <w:tab/>
        <w:tab/>
        <w:tab/>
        <w:tab/>
        <w:t>Додаток</w:t>
      </w:r>
    </w:p>
    <w:p>
      <w:pPr>
        <w:pStyle w:val="Normal"/>
        <w:jc w:val="both"/>
        <w:rPr>
          <w:sz w:val="24"/>
          <w:szCs w:val="24"/>
          <w:lang w:val="uk-UA"/>
        </w:rPr>
      </w:pPr>
      <w:r>
        <w:rPr>
          <w:sz w:val="24"/>
          <w:szCs w:val="24"/>
          <w:lang w:val="uk-UA"/>
        </w:rPr>
        <w:tab/>
        <w:tab/>
        <w:tab/>
        <w:tab/>
        <w:tab/>
        <w:tab/>
        <w:tab/>
        <w:tab/>
        <w:tab/>
        <w:tab/>
        <w:tab/>
        <w:tab/>
        <w:t xml:space="preserve">до Програми із запобігання та ліквідації надзвичайних ситуацій, </w:t>
      </w:r>
    </w:p>
    <w:p>
      <w:pPr>
        <w:pStyle w:val="Normal"/>
        <w:jc w:val="both"/>
        <w:rPr>
          <w:sz w:val="24"/>
          <w:szCs w:val="24"/>
          <w:lang w:val="uk-UA"/>
        </w:rPr>
      </w:pPr>
      <w:r>
        <w:rPr>
          <w:sz w:val="24"/>
          <w:szCs w:val="24"/>
          <w:lang w:val="uk-UA"/>
        </w:rPr>
        <w:tab/>
        <w:tab/>
        <w:tab/>
        <w:tab/>
        <w:tab/>
        <w:tab/>
        <w:tab/>
        <w:tab/>
        <w:tab/>
        <w:tab/>
        <w:tab/>
        <w:tab/>
        <w:t>наслідків стихійного лиха та воєнних дій на території</w:t>
      </w:r>
    </w:p>
    <w:p>
      <w:pPr>
        <w:pStyle w:val="Normal"/>
        <w:jc w:val="both"/>
        <w:rPr>
          <w:sz w:val="24"/>
          <w:szCs w:val="24"/>
          <w:lang w:val="uk-UA"/>
        </w:rPr>
      </w:pPr>
      <w:r>
        <w:rPr>
          <w:sz w:val="24"/>
          <w:szCs w:val="24"/>
          <w:lang w:val="uk-UA"/>
        </w:rPr>
        <w:t xml:space="preserve"> </w:t>
      </w:r>
      <w:r>
        <w:rPr>
          <w:sz w:val="24"/>
          <w:szCs w:val="24"/>
          <w:lang w:val="uk-UA"/>
        </w:rPr>
        <w:tab/>
        <w:tab/>
        <w:tab/>
        <w:tab/>
        <w:tab/>
        <w:tab/>
        <w:tab/>
        <w:tab/>
        <w:tab/>
        <w:tab/>
        <w:tab/>
        <w:tab/>
        <w:t>Слов’янської міської територіальної громади на 2024 рік</w:t>
      </w:r>
    </w:p>
    <w:p>
      <w:pPr>
        <w:pStyle w:val="Normal"/>
        <w:jc w:val="both"/>
        <w:rPr>
          <w:sz w:val="24"/>
          <w:szCs w:val="24"/>
          <w:lang w:val="uk-UA"/>
        </w:rPr>
      </w:pPr>
      <w:r>
        <w:rPr>
          <w:sz w:val="24"/>
          <w:szCs w:val="24"/>
          <w:lang w:val="uk-UA"/>
        </w:rPr>
        <w:tab/>
        <w:tab/>
        <w:tab/>
        <w:tab/>
        <w:tab/>
        <w:tab/>
        <w:tab/>
        <w:tab/>
        <w:tab/>
        <w:tab/>
        <w:tab/>
        <w:tab/>
        <w:t>(Розділ 4)</w:t>
      </w:r>
    </w:p>
    <w:p>
      <w:pPr>
        <w:pStyle w:val="Normal"/>
        <w:rPr>
          <w:sz w:val="24"/>
          <w:szCs w:val="24"/>
          <w:lang w:val="uk-UA"/>
        </w:rPr>
      </w:pPr>
      <w:r>
        <w:rPr>
          <w:sz w:val="24"/>
          <w:szCs w:val="24"/>
          <w:lang w:val="uk-UA"/>
        </w:rPr>
      </w:r>
    </w:p>
    <w:p>
      <w:pPr>
        <w:pStyle w:val="Normal"/>
        <w:jc w:val="center"/>
        <w:rPr>
          <w:lang w:val="uk-UA"/>
        </w:rPr>
      </w:pPr>
      <w:bookmarkStart w:id="0" w:name="BM254"/>
      <w:bookmarkEnd w:id="0"/>
      <w:r>
        <w:rPr>
          <w:sz w:val="24"/>
          <w:szCs w:val="24"/>
          <w:lang w:val="uk-UA"/>
        </w:rPr>
        <w:t>Перелік завдань і заходів</w:t>
      </w:r>
    </w:p>
    <w:p>
      <w:pPr>
        <w:pStyle w:val="Normal"/>
        <w:jc w:val="center"/>
        <w:rPr>
          <w:lang w:val="uk-UA"/>
        </w:rPr>
      </w:pPr>
      <w:r>
        <w:rPr>
          <w:sz w:val="24"/>
          <w:szCs w:val="24"/>
          <w:lang w:val="uk-UA"/>
        </w:rPr>
        <w:t>ПРОГРАМИ</w:t>
      </w:r>
    </w:p>
    <w:p>
      <w:pPr>
        <w:pStyle w:val="Normal"/>
        <w:jc w:val="center"/>
        <w:rPr>
          <w:sz w:val="24"/>
          <w:szCs w:val="24"/>
          <w:lang w:val="uk-UA"/>
        </w:rPr>
      </w:pPr>
      <w:r>
        <w:rPr>
          <w:sz w:val="24"/>
          <w:szCs w:val="24"/>
          <w:lang w:val="uk-UA"/>
        </w:rPr>
        <w:t xml:space="preserve"> </w:t>
      </w:r>
      <w:r>
        <w:rPr>
          <w:sz w:val="24"/>
          <w:szCs w:val="24"/>
          <w:lang w:val="uk-UA"/>
        </w:rPr>
        <w:t>із запобігання та ліквідації надзвичайних ситуацій, наслідків стихійного лиха та воєнних дій на території Слов’янської міської територіальної громади на 2024 рік</w:t>
      </w:r>
    </w:p>
    <w:tbl>
      <w:tblPr>
        <w:tblW w:w="15926"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Look w:firstRow="1" w:noVBand="0" w:lastRow="0" w:firstColumn="1" w:lastColumn="0" w:noHBand="0" w:val="00a0"/>
      </w:tblPr>
      <w:tblGrid>
        <w:gridCol w:w="1573"/>
        <w:gridCol w:w="607"/>
        <w:gridCol w:w="2121"/>
        <w:gridCol w:w="932"/>
        <w:gridCol w:w="1594"/>
        <w:gridCol w:w="1161"/>
        <w:gridCol w:w="862"/>
        <w:gridCol w:w="906"/>
        <w:gridCol w:w="1226"/>
        <w:gridCol w:w="728"/>
        <w:gridCol w:w="955"/>
        <w:gridCol w:w="1985"/>
        <w:gridCol w:w="1275"/>
      </w:tblGrid>
      <w:tr>
        <w:trPr>
          <w:trHeight w:val="300" w:hRule="atLeast"/>
        </w:trPr>
        <w:tc>
          <w:tcPr>
            <w:tcW w:w="1573"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 xml:space="preserve">№ </w:t>
            </w:r>
            <w:r>
              <w:rPr>
                <w:sz w:val="16"/>
                <w:szCs w:val="16"/>
                <w:lang w:val="uk-UA" w:eastAsia="uk-UA"/>
              </w:rPr>
              <w:t>і назва завдання Стратегії розвитку Донецької області на період до 2027 року/Стратегії громади (за наявності)</w:t>
            </w:r>
          </w:p>
        </w:tc>
        <w:tc>
          <w:tcPr>
            <w:tcW w:w="60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w:t>
            </w:r>
            <w:r>
              <w:rPr>
                <w:sz w:val="16"/>
                <w:szCs w:val="16"/>
                <w:lang w:val="uk-UA" w:eastAsia="uk-UA"/>
              </w:rPr>
              <w:br/>
              <w:t>з/п</w:t>
            </w:r>
          </w:p>
        </w:tc>
        <w:tc>
          <w:tcPr>
            <w:tcW w:w="2121"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Зміст заходу</w:t>
            </w:r>
          </w:p>
        </w:tc>
        <w:tc>
          <w:tcPr>
            <w:tcW w:w="932"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Термін</w:t>
              <w:br/>
              <w:t>виконання</w:t>
              <w:br/>
            </w:r>
          </w:p>
        </w:tc>
        <w:tc>
          <w:tcPr>
            <w:tcW w:w="159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Виконавець</w:t>
            </w:r>
          </w:p>
        </w:tc>
        <w:tc>
          <w:tcPr>
            <w:tcW w:w="5838"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Витрати на реалізацію, тис.грн</w:t>
            </w:r>
          </w:p>
        </w:tc>
        <w:tc>
          <w:tcPr>
            <w:tcW w:w="3260"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 xml:space="preserve">Очікуваний </w:t>
              <w:br/>
              <w:t>результат</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212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61"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Всього</w:t>
            </w:r>
          </w:p>
        </w:tc>
        <w:tc>
          <w:tcPr>
            <w:tcW w:w="4677"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у тому числі за рахунок коштів:</w:t>
            </w:r>
          </w:p>
        </w:tc>
        <w:tc>
          <w:tcPr>
            <w:tcW w:w="3260"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212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6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862"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Держав-</w:t>
              <w:br/>
              <w:t>ного</w:t>
              <w:br/>
              <w:t>бюджету</w:t>
            </w:r>
          </w:p>
        </w:tc>
        <w:tc>
          <w:tcPr>
            <w:tcW w:w="213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місцевих бюджетів</w:t>
            </w:r>
          </w:p>
        </w:tc>
        <w:tc>
          <w:tcPr>
            <w:tcW w:w="728"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підпри-</w:t>
              <w:br/>
              <w:t>ємств</w:t>
            </w:r>
          </w:p>
        </w:tc>
        <w:tc>
          <w:tcPr>
            <w:tcW w:w="955"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 xml:space="preserve">інших </w:t>
              <w:br/>
              <w:t>джерел</w:t>
            </w:r>
          </w:p>
        </w:tc>
        <w:tc>
          <w:tcPr>
            <w:tcW w:w="1985"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найменування показника</w:t>
            </w:r>
          </w:p>
        </w:tc>
        <w:tc>
          <w:tcPr>
            <w:tcW w:w="1275"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значення показника</w:t>
            </w:r>
          </w:p>
        </w:tc>
      </w:tr>
      <w:tr>
        <w:trPr>
          <w:trHeight w:val="129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212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161"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86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обласного</w:t>
              <w:br/>
              <w:t>бюджету</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jc w:val="center"/>
              <w:rPr>
                <w:sz w:val="16"/>
                <w:szCs w:val="16"/>
                <w:lang w:val="uk-UA" w:eastAsia="uk-UA"/>
              </w:rPr>
            </w:pPr>
            <w:r>
              <w:rPr>
                <w:sz w:val="16"/>
                <w:szCs w:val="16"/>
                <w:lang w:val="uk-UA" w:eastAsia="uk-UA"/>
              </w:rPr>
              <w:t>бюджету територіальної громади</w:t>
            </w:r>
          </w:p>
        </w:tc>
        <w:tc>
          <w:tcPr>
            <w:tcW w:w="728"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955"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985"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c>
          <w:tcPr>
            <w:tcW w:w="1275"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suppressAutoHyphens w:val="false"/>
              <w:rPr>
                <w:sz w:val="16"/>
                <w:szCs w:val="16"/>
                <w:lang w:val="uk-UA" w:eastAsia="uk-UA"/>
              </w:rPr>
            </w:pPr>
            <w:r>
              <w:rPr>
                <w:sz w:val="16"/>
                <w:szCs w:val="16"/>
                <w:lang w:val="uk-UA" w:eastAsia="uk-UA"/>
              </w:rPr>
            </w:r>
          </w:p>
        </w:tc>
      </w:tr>
      <w:tr>
        <w:trPr>
          <w:trHeight w:val="300" w:hRule="atLeast"/>
        </w:trPr>
        <w:tc>
          <w:tcPr>
            <w:tcW w:w="15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1</w:t>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2</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3</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5</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6</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7</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8</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9</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10</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11</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12</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t>13</w:t>
            </w:r>
          </w:p>
        </w:tc>
      </w:tr>
      <w:tr>
        <w:trPr>
          <w:trHeight w:val="3205" w:hRule="atLeast"/>
        </w:trPr>
        <w:tc>
          <w:tcPr>
            <w:tcW w:w="1573"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b/>
                <w:b/>
                <w:bCs/>
                <w:lang w:val="uk-UA" w:eastAsia="uk-UA"/>
              </w:rPr>
            </w:pPr>
            <w:r>
              <w:rPr>
                <w:lang w:val="uk-UA" w:eastAsia="ru-RU"/>
              </w:rPr>
              <w:t>3.1.1. Підвищення спроможності регіону попереджувати, реагувати та ліквідовувати наслідки надзвичайних ситуацій</w:t>
            </w:r>
            <w:r>
              <w:rPr>
                <w:b/>
                <w:bCs/>
                <w:lang w:val="uk-UA" w:eastAsia="uk-UA"/>
              </w:rPr>
              <w:t> </w:t>
            </w:r>
          </w:p>
          <w:p>
            <w:pPr>
              <w:pStyle w:val="Normal"/>
              <w:rPr>
                <w:b/>
                <w:b/>
                <w:bCs/>
                <w:lang w:val="uk-UA" w:eastAsia="uk-UA"/>
              </w:rPr>
            </w:pPr>
            <w:r>
              <w:rPr>
                <w:b/>
                <w:bCs/>
                <w:sz w:val="16"/>
                <w:szCs w:val="16"/>
                <w:lang w:val="uk-UA" w:eastAsia="uk-UA"/>
              </w:rPr>
              <w:t> </w:t>
            </w:r>
          </w:p>
          <w:p>
            <w:pPr>
              <w:pStyle w:val="Normal"/>
              <w:rPr>
                <w:b/>
                <w:b/>
                <w:bCs/>
                <w:lang w:val="uk-UA" w:eastAsia="uk-UA"/>
              </w:rPr>
            </w:pPr>
            <w:r>
              <w:rPr>
                <w:sz w:val="16"/>
                <w:szCs w:val="16"/>
                <w:lang w:val="uk-UA" w:eastAsia="uk-UA"/>
              </w:rPr>
              <w:t> </w:t>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Забезпечення надійного та своєчасного оповіщення відповідних служб, посадових осіб та населення громади про загрозу виникнення або виникнення надзвичайних ситуацій</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управління житлово-комунального господарства, відділ з питань цивільного захисту, мобілізаційної та оборонної роботи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20 000,000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20 000,000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 xml:space="preserve">  </w:t>
            </w:r>
            <w:r>
              <w:rPr>
                <w:lang w:val="uk-UA"/>
              </w:rPr>
              <w:t>створена місцева автоматизована система централізованого оповіщення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 од.</w:t>
            </w:r>
          </w:p>
        </w:tc>
      </w:tr>
      <w:tr>
        <w:trPr>
          <w:trHeight w:val="233"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lang w:val="uk-UA" w:eastAsia="ru-RU"/>
              </w:rPr>
            </w:pPr>
            <w:r>
              <w:rPr>
                <w:lang w:val="uk-UA" w:eastAsia="ru-RU"/>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w:t>
            </w:r>
          </w:p>
        </w:tc>
        <w:tc>
          <w:tcPr>
            <w:tcW w:w="2121" w:type="dxa"/>
            <w:tcBorders>
              <w:top w:val="single" w:sz="4" w:space="0" w:color="000001"/>
              <w:left w:val="single" w:sz="4" w:space="0" w:color="000001"/>
              <w:bottom w:val="single" w:sz="4" w:space="0" w:color="00000A"/>
              <w:right w:val="single" w:sz="4" w:space="0" w:color="000001"/>
              <w:insideH w:val="single" w:sz="4" w:space="0" w:color="00000A"/>
              <w:insideV w:val="single" w:sz="4" w:space="0" w:color="000001"/>
            </w:tcBorders>
            <w:shd w:fill="auto" w:val="clear"/>
            <w:tcMar>
              <w:left w:w="103" w:type="dxa"/>
            </w:tcMar>
          </w:tcPr>
          <w:p>
            <w:pPr>
              <w:pStyle w:val="Normal"/>
              <w:rPr>
                <w:sz w:val="24"/>
                <w:szCs w:val="24"/>
                <w:lang w:val="uk-UA"/>
              </w:rPr>
            </w:pPr>
            <w:r>
              <w:rPr>
                <w:lang w:val="uk-UA"/>
              </w:rPr>
              <w:t>Здійснення заходів спрямованих на захист населення і територій від надзвичайних ситуацій: створення і використання матеріального резерву; організація та забезпечення життєдіяльності населення від надзвичайних ситуацій, а також під час ведення воєнних (бойових) дій або внаслідок таких дій</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Краматорського району Донецької області, відділ з питань цивільного захисту, мобілізаційної та оборонної роботи, міські спеціалізовані служби цивільного захисту, управління житлово-комунального господарства</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10 000,000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10 000,000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створений міський матеріальний резерв для запобігання і ліквідації наслідків НС, у тому числі  заправка автотранспорту, забезпечено харчування населення, формувань цивільного захисту</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46 од.</w:t>
              <w:br/>
              <w:br/>
              <w:t>5700 осіб</w:t>
              <w:br/>
              <w:br/>
              <w:t>35 осіб</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lang w:val="uk-UA"/>
              </w:rPr>
            </w:pPr>
            <w:r>
              <w:rPr>
                <w:color w:val="000000"/>
                <w:lang w:val="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Забезпечення сталого управління, організації зв’язку з ЗПУ, створення  умов нормальної працездатності та життєдіяльності на ЗПУ в особливий період</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Краматорського району Донецької області, відділ з питань цивільного захисту, мобілізаційної та оборонної роботи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 xml:space="preserve">укриття керівного складу територіальної громади </w:t>
              <w:br/>
              <w:t xml:space="preserve">придбання: </w:t>
              <w:br/>
              <w:t>- ноутбуків</w:t>
              <w:br/>
              <w:t>- дизель-генератора</w:t>
              <w:br/>
              <w:t>- ручних радіостанцій</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30 осіб</w:t>
              <w:br/>
              <w:br/>
              <w:t>2 од.</w:t>
              <w:br/>
              <w:t>1 од.</w:t>
              <w:br/>
              <w:br/>
              <w:t>4 од.</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lang w:val="uk-UA"/>
              </w:rPr>
            </w:pPr>
            <w:r>
              <w:rPr>
                <w:color w:val="000000"/>
                <w:lang w:val="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4</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Створення умов безпеки для непрацюючого населення, яке проживає у прогнозованих зонах хімічного забруднення та в зоні можливого хімічного забруднення на території територіальної громади</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відділ з питань цивільного захисту, мобілізаційної та оборонної роботи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500,000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500,000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збережено життя та здоров’я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придбання протигазів на 360 осіб</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lang w:val="uk-UA"/>
              </w:rPr>
            </w:pPr>
            <w:r>
              <w:rPr>
                <w:color w:val="000000"/>
                <w:lang w:val="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5</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Забезпечення санітарно-епідеміологічного благополуччя населення м. Слов’янська, спрямованого на проведення першочергових заходів, пов’язаних з запобіганням, профілактикою та ліквідацією інфекційних захворювань людей, а також дій при кризових ситуаціях щодо запобігань поширенню епідемії</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відділ з питань цивільного захисту, мобілізаційної та оборонної роботи, відділ охорони здоров'я, Слов’янська філія Державної установи   «Обласний центр контролю та профілактики хвороб МОЗ України»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2 000,000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2 000,000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створено умови для забезпечення  життя і здоров’я населення міста</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 </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lang w:val="uk-UA"/>
              </w:rPr>
            </w:pPr>
            <w:r>
              <w:rPr>
                <w:color w:val="000000"/>
                <w:lang w:val="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6</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Забезпечення санітарно-епідеміологічного благополуччя населення м. Слов’янська, спрямованого на проведення першочергових заходів та оперативного реагування на надзвичайні ситуації медико-біологічного характеру, пов’язаних із захворюванням сільськогосподарських тварин та з ураженням сільськогосподарських рослин хворобами та шкідниками</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відділ з питань цивільного захисту, мобілізаційної та оборонної роботи, Слов’янська районна державна лікарня ветеринарної медицини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1 000,000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1 000,000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кількість договорів</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 од.</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lang w:val="uk-UA"/>
              </w:rPr>
            </w:pPr>
            <w:r>
              <w:rPr>
                <w:color w:val="000000"/>
                <w:lang w:val="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7</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 xml:space="preserve">Розробка, виготовлення та розповсюдження пам’яток, буклетів та інших наочних матеріалів з питань цивільного захисту, пожежної безпеки та безпечної життєдіяльності населення </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Слов’янська міська військова адміністрація Краматорського району Донецької області, відділ з питань цивільного захисту, мобілізаційної та оборонної роботи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кількість пам’яток</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2000 од.</w:t>
            </w:r>
          </w:p>
        </w:tc>
      </w:tr>
      <w:tr>
        <w:trPr>
          <w:trHeight w:val="300"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lang w:val="uk-UA"/>
              </w:rPr>
            </w:pPr>
            <w:r>
              <w:rPr>
                <w:color w:val="000000"/>
                <w:lang w:val="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8</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pPr>
            <w:r>
              <w:rPr>
                <w:lang w:val="uk-UA"/>
              </w:rPr>
              <w:t xml:space="preserve">Слов’янська міська військова адміністрація Краматорського району Донецької області, </w:t>
              <w:br/>
              <w:t xml:space="preserve"> </w:t>
            </w:r>
            <w:r>
              <w:rPr>
                <w:i/>
                <w:iCs/>
                <w:sz w:val="20"/>
                <w:szCs w:val="20"/>
                <w:lang w:val="uk-UA"/>
              </w:rPr>
              <w:t>(конфіденційна інформація)</w:t>
            </w:r>
            <w:r>
              <w:rPr>
                <w:lang w:val="uk-UA"/>
              </w:rPr>
              <w:t>,  відділ з питань цивільного захисту, мобілізаційної та оборонної роботи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 </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lang w:val="uk-UA" w:eastAsia="uk-UA"/>
              </w:rPr>
            </w:pPr>
            <w:r>
              <w:rPr>
                <w:lang w:val="uk-UA" w:eastAsia="uk-UA"/>
              </w:rPr>
              <w:t>9</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pPr>
            <w:r>
              <w:rPr>
                <w:i/>
                <w:iCs/>
                <w:sz w:val="20"/>
                <w:szCs w:val="20"/>
                <w:lang w:val="uk-UA"/>
              </w:rPr>
              <w:t>(конфіденційна інформація)</w:t>
            </w:r>
            <w:r>
              <w:rPr>
                <w:lang w:val="uk-UA"/>
              </w:rPr>
              <w:t xml:space="preserve"> </w:t>
            </w:r>
            <w:r>
              <w:rPr>
                <w:i/>
                <w:iCs/>
                <w:sz w:val="20"/>
                <w:szCs w:val="20"/>
                <w:lang w:val="uk-UA"/>
              </w:rPr>
              <w:t>(конфіденційна інформація)</w:t>
            </w:r>
          </w:p>
        </w:tc>
        <w:tc>
          <w:tcPr>
            <w:tcW w:w="932"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lang w:val="uk-UA" w:eastAsia="uk-UA"/>
              </w:rPr>
            </w:pPr>
            <w:r>
              <w:rPr>
                <w:lang w:val="uk-UA" w:eastAsia="uk-UA"/>
              </w:rPr>
              <w:t>2024</w:t>
            </w:r>
          </w:p>
        </w:tc>
        <w:tc>
          <w:tcPr>
            <w:tcW w:w="1594"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lang w:val="uk-UA" w:eastAsia="uk-UA"/>
              </w:rPr>
            </w:pPr>
            <w:r>
              <w:rPr>
                <w:lang w:val="uk-UA" w:eastAsia="uk-UA"/>
              </w:rPr>
              <w:t>Управління житлово - комунального господарства,</w:t>
            </w:r>
            <w:r>
              <w:rPr>
                <w:lang w:val="uk-UA"/>
              </w:rPr>
              <w:t xml:space="preserve"> </w:t>
            </w:r>
            <w:r>
              <w:rPr>
                <w:lang w:val="uk-UA" w:eastAsia="uk-UA"/>
              </w:rPr>
              <w:t xml:space="preserve">Слов’янська міська військова адміністрація Краматорського району Донецької області, </w:t>
            </w:r>
          </w:p>
          <w:p>
            <w:pPr>
              <w:pStyle w:val="Normal"/>
              <w:suppressAutoHyphens w:val="false"/>
              <w:jc w:val="center"/>
              <w:rPr>
                <w:b/>
                <w:b/>
                <w:bCs/>
                <w:sz w:val="16"/>
                <w:szCs w:val="16"/>
                <w:lang w:val="uk-UA" w:eastAsia="uk-UA"/>
              </w:rPr>
            </w:pPr>
            <w:r>
              <w:rPr>
                <w:lang w:val="uk-UA" w:eastAsia="uk-UA"/>
              </w:rPr>
              <w:t xml:space="preserve">  </w:t>
            </w:r>
            <w:r>
              <w:rPr>
                <w:lang w:val="uk-UA" w:eastAsia="uk-UA"/>
              </w:rPr>
              <w:t>відділ з питань цивільного захисту, мобілізаційної та оборонної роботи</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jc w:val="center"/>
              <w:rPr>
                <w:b/>
                <w:b/>
                <w:bCs/>
                <w:sz w:val="16"/>
                <w:szCs w:val="16"/>
                <w:lang w:val="uk-UA"/>
              </w:rPr>
            </w:pPr>
            <w:r>
              <w:rPr>
                <w:b/>
                <w:bCs/>
                <w:sz w:val="16"/>
                <w:szCs w:val="16"/>
                <w:lang w:val="uk-UA"/>
              </w:rPr>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jc w:val="center"/>
              <w:rPr>
                <w:b/>
                <w:b/>
                <w:bCs/>
                <w:sz w:val="16"/>
                <w:szCs w:val="16"/>
                <w:lang w:val="uk-UA"/>
              </w:rPr>
            </w:pPr>
            <w:r>
              <w:rPr>
                <w:b/>
                <w:bCs/>
                <w:sz w:val="16"/>
                <w:szCs w:val="16"/>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jc w:val="center"/>
              <w:rPr>
                <w:b/>
                <w:b/>
                <w:bCs/>
                <w:sz w:val="16"/>
                <w:szCs w:val="16"/>
                <w:lang w:val="uk-UA"/>
              </w:rPr>
            </w:pPr>
            <w:r>
              <w:rPr>
                <w:b/>
                <w:bCs/>
                <w:sz w:val="16"/>
                <w:szCs w:val="16"/>
                <w:lang w:val="uk-UA"/>
              </w:rPr>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jc w:val="center"/>
              <w:rPr>
                <w:b/>
                <w:b/>
                <w:bCs/>
                <w:sz w:val="16"/>
                <w:szCs w:val="16"/>
                <w:lang w:val="uk-UA"/>
              </w:rPr>
            </w:pPr>
            <w:r>
              <w:rPr>
                <w:b/>
                <w:bCs/>
                <w:sz w:val="16"/>
                <w:szCs w:val="16"/>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 xml:space="preserve">кількість </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500 од.</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b/>
                <w:bCs/>
                <w:i/>
                <w:iCs/>
                <w:sz w:val="16"/>
                <w:szCs w:val="16"/>
                <w:lang w:val="uk-UA" w:eastAsia="uk-UA"/>
              </w:rPr>
              <w:t>(конфіденційна інформація)</w:t>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 xml:space="preserve">кількість </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4"/>
                <w:szCs w:val="24"/>
                <w:lang w:val="uk-UA"/>
              </w:rPr>
              <w:t>(конфіденційна інформація)</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position w:val="0"/>
                <w:sz w:val="20"/>
                <w:sz w:val="20"/>
                <w:szCs w:val="20"/>
                <w:vertAlign w:val="baseline"/>
              </w:rPr>
            </w:pPr>
            <w:r>
              <w:rPr>
                <w:i/>
                <w:iCs/>
                <w:position w:val="0"/>
                <w:sz w:val="20"/>
                <w:sz w:val="20"/>
                <w:szCs w:val="20"/>
                <w:vertAlign w:val="baseline"/>
                <w:lang w:val="uk-UA"/>
              </w:rPr>
              <w:t>(конфіденційна інформація)</w:t>
            </w:r>
          </w:p>
        </w:tc>
      </w:tr>
      <w:tr>
        <w:trPr>
          <w:trHeight w:val="274"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pacing w:before="0" w:after="240"/>
              <w:jc w:val="center"/>
              <w:rPr>
                <w:i/>
                <w:i/>
                <w:iCs/>
                <w:sz w:val="20"/>
                <w:szCs w:val="20"/>
              </w:rPr>
            </w:pPr>
            <w:r>
              <w:rPr>
                <w:i/>
                <w:iCs/>
                <w:sz w:val="20"/>
                <w:szCs w:val="20"/>
                <w:lang w:val="uk-UA"/>
              </w:rPr>
              <w:t>(конфіденційна інформація)</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932"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lang w:val="uk-UA"/>
              </w:rPr>
            </w:pPr>
            <w:r>
              <w:rPr>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16"/>
                <w:szCs w:val="16"/>
                <w:lang w:val="uk-UA"/>
              </w:rPr>
            </w:pPr>
            <w:r>
              <w:rPr>
                <w:b/>
                <w:bCs/>
                <w:sz w:val="16"/>
                <w:szCs w:val="16"/>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r>
      <w:tr>
        <w:trPr>
          <w:trHeight w:val="285" w:hRule="atLeast"/>
        </w:trPr>
        <w:tc>
          <w:tcPr>
            <w:tcW w:w="1573"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lang w:val="uk-UA" w:eastAsia="uk-UA"/>
              </w:rPr>
            </w:pPr>
            <w:r>
              <w:rPr>
                <w:lang w:val="uk-UA" w:eastAsia="uk-UA"/>
              </w:rPr>
              <w:t>Інші завдання: заходи з підготовки міста до життя в умовах складних ситуацій</w:t>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lang w:val="uk-UA" w:eastAsia="uk-UA"/>
              </w:rPr>
            </w:pPr>
            <w:r>
              <w:rPr>
                <w:lang w:val="uk-UA" w:eastAsia="uk-UA"/>
              </w:rPr>
              <w:t>1</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sz w:val="24"/>
                <w:szCs w:val="24"/>
                <w:lang w:val="uk-UA"/>
              </w:rPr>
            </w:pPr>
            <w:r>
              <w:rPr>
                <w:color w:val="000000"/>
                <w:lang w:val="uk-UA"/>
              </w:rPr>
              <w:t>Надання  прихистку та/або гарячого харчування особам, які цього потребують з числа внутрішньо переміщених осіб/тимчасово переміщених осіб/мешканців громади на час воєнного стану</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bookmarkStart w:id="1" w:name="__DdeLink__1179_1821853708"/>
            <w:bookmarkEnd w:id="1"/>
            <w:r>
              <w:rPr>
                <w:i/>
                <w:iCs/>
                <w:sz w:val="20"/>
                <w:szCs w:val="20"/>
                <w:lang w:val="uk-UA"/>
              </w:rPr>
              <w:t>(конфіденційна інформація)</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13 030,000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color w:val="000000"/>
                <w:sz w:val="24"/>
                <w:szCs w:val="24"/>
                <w:lang w:val="uk-UA"/>
              </w:rPr>
            </w:pPr>
            <w:r>
              <w:rPr>
                <w:color w:val="000000"/>
                <w:lang w:val="uk-UA"/>
              </w:rPr>
              <w:t>13030,000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color w:val="000000"/>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color w:val="000000"/>
                <w:sz w:val="20"/>
                <w:szCs w:val="20"/>
                <w:lang w:val="uk-UA"/>
              </w:rPr>
              <w:t>(конфіденційна інформація)</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lang w:val="uk-UA" w:eastAsia="uk-UA"/>
              </w:rPr>
            </w:pPr>
            <w:r>
              <w:rPr>
                <w:lang w:val="uk-UA" w:eastAsia="uk-UA"/>
              </w:rPr>
              <w:t>2</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color w:val="000000"/>
                <w:sz w:val="24"/>
                <w:szCs w:val="24"/>
                <w:lang w:val="uk-UA"/>
              </w:rPr>
            </w:pPr>
            <w:r>
              <w:rPr>
                <w:color w:val="000000"/>
                <w:lang w:val="uk-UA"/>
              </w:rPr>
              <w:t>Послуги з поточного ремонту житлових будинків та інших споруд, що знаходяться на території Слов’янської міської територіальної громади (ліквідація наслідків збройної агресії рф)</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Управління житлово – комунального господарства</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5 000,000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color w:val="000000"/>
                <w:sz w:val="24"/>
                <w:szCs w:val="24"/>
                <w:lang w:val="uk-UA"/>
              </w:rPr>
            </w:pPr>
            <w:r>
              <w:rPr>
                <w:color w:val="000000"/>
                <w:lang w:val="uk-UA"/>
              </w:rPr>
              <w:t>5000,000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color w:val="000000"/>
                <w:sz w:val="24"/>
                <w:szCs w:val="24"/>
                <w:lang w:val="uk-UA"/>
              </w:rPr>
            </w:pPr>
            <w:r>
              <w:rPr>
                <w:color w:val="000000"/>
                <w:lang w:val="uk-UA"/>
              </w:rPr>
              <w:t>кількість об'єктів</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color w:val="000000"/>
                <w:sz w:val="24"/>
                <w:szCs w:val="24"/>
                <w:lang w:val="uk-UA"/>
              </w:rPr>
            </w:pPr>
            <w:r>
              <w:rPr>
                <w:color w:val="000000"/>
                <w:lang w:val="uk-UA"/>
              </w:rPr>
              <w:t>150 од.</w:t>
            </w:r>
          </w:p>
        </w:tc>
      </w:tr>
      <w:tr>
        <w:trPr>
          <w:trHeight w:val="285" w:hRule="atLeast"/>
        </w:trPr>
        <w:tc>
          <w:tcPr>
            <w:tcW w:w="15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lang w:val="uk-UA" w:eastAsia="uk-UA"/>
              </w:rPr>
            </w:pPr>
            <w:r>
              <w:rPr>
                <w:lang w:val="uk-UA" w:eastAsia="uk-UA"/>
              </w:rPr>
              <w:t>3</w:t>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rPr>
                <w:sz w:val="24"/>
                <w:szCs w:val="24"/>
                <w:lang w:val="uk-UA"/>
              </w:rPr>
            </w:pPr>
            <w:r>
              <w:rPr>
                <w:lang w:val="uk-UA"/>
              </w:rPr>
              <w:t>Надання  прихистку особам, які цього потребують з числа внутрішньо переміщених осіб/тимчасово переміщених осіб/мешканців громади на час воєнного стану</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2024</w:t>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384,000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sz w:val="24"/>
                <w:szCs w:val="24"/>
                <w:lang w:val="uk-UA"/>
              </w:rPr>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sz w:val="24"/>
                <w:szCs w:val="24"/>
                <w:lang w:val="uk-UA"/>
              </w:rPr>
            </w:pPr>
            <w:r>
              <w:rPr>
                <w:lang w:val="uk-UA"/>
              </w:rPr>
              <w:t>384,000</w:t>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sz w:val="24"/>
                <w:szCs w:val="24"/>
                <w:lang w:val="uk-UA"/>
              </w:rPr>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sz w:val="24"/>
                <w:szCs w:val="24"/>
                <w:lang w:val="uk-UA"/>
              </w:rPr>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i/>
                <w:i/>
                <w:iCs/>
                <w:sz w:val="20"/>
                <w:szCs w:val="20"/>
              </w:rPr>
            </w:pPr>
            <w:r>
              <w:rPr>
                <w:i/>
                <w:iCs/>
                <w:sz w:val="20"/>
                <w:szCs w:val="20"/>
                <w:lang w:val="uk-UA"/>
              </w:rPr>
              <w:t>(конфіденційна інформація)</w:t>
            </w:r>
          </w:p>
        </w:tc>
      </w:tr>
      <w:tr>
        <w:trPr>
          <w:trHeight w:val="285" w:hRule="atLeast"/>
        </w:trPr>
        <w:tc>
          <w:tcPr>
            <w:tcW w:w="15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sz w:val="16"/>
                <w:szCs w:val="16"/>
                <w:lang w:val="uk-UA" w:eastAsia="uk-UA"/>
              </w:rPr>
            </w:pPr>
            <w:r>
              <w:rPr>
                <w:sz w:val="16"/>
                <w:szCs w:val="16"/>
                <w:lang w:val="uk-UA" w:eastAsia="uk-UA"/>
              </w:rPr>
            </w:r>
          </w:p>
        </w:tc>
        <w:tc>
          <w:tcPr>
            <w:tcW w:w="60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21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b/>
                <w:b/>
                <w:bCs/>
                <w:lang w:val="uk-UA" w:eastAsia="uk-UA"/>
              </w:rPr>
            </w:pPr>
            <w:r>
              <w:rPr>
                <w:b/>
                <w:bCs/>
                <w:lang w:val="uk-UA" w:eastAsia="uk-UA"/>
              </w:rPr>
              <w:t>Всього</w:t>
            </w:r>
          </w:p>
        </w:tc>
        <w:tc>
          <w:tcPr>
            <w:tcW w:w="93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5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b/>
                <w:b/>
                <w:bCs/>
                <w:sz w:val="16"/>
                <w:szCs w:val="16"/>
                <w:lang w:val="uk-UA" w:eastAsia="uk-UA"/>
              </w:rPr>
            </w:pPr>
            <w:r>
              <w:rPr>
                <w:b/>
                <w:bCs/>
                <w:sz w:val="16"/>
                <w:szCs w:val="16"/>
                <w:lang w:val="uk-UA" w:eastAsia="uk-UA"/>
              </w:rPr>
            </w:r>
          </w:p>
        </w:tc>
        <w:tc>
          <w:tcPr>
            <w:tcW w:w="116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67 193,920</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0,000</w:t>
            </w:r>
          </w:p>
        </w:tc>
        <w:tc>
          <w:tcPr>
            <w:tcW w:w="90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0,000</w:t>
            </w:r>
          </w:p>
        </w:tc>
        <w:tc>
          <w:tcPr>
            <w:tcW w:w="12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67 193,920</w:t>
            </w:r>
          </w:p>
          <w:p>
            <w:pPr>
              <w:pStyle w:val="Normal"/>
              <w:jc w:val="center"/>
              <w:rPr>
                <w:b/>
                <w:b/>
                <w:bCs/>
                <w:sz w:val="24"/>
                <w:szCs w:val="24"/>
                <w:lang w:val="uk-UA"/>
              </w:rPr>
            </w:pPr>
            <w:r>
              <w:rPr>
                <w:b/>
                <w:bCs/>
                <w:sz w:val="24"/>
                <w:szCs w:val="24"/>
                <w:lang w:val="uk-UA"/>
              </w:rPr>
            </w:r>
          </w:p>
        </w:tc>
        <w:tc>
          <w:tcPr>
            <w:tcW w:w="7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0,000</w:t>
            </w:r>
          </w:p>
        </w:tc>
        <w:tc>
          <w:tcPr>
            <w:tcW w:w="95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jc w:val="center"/>
              <w:rPr>
                <w:b/>
                <w:b/>
                <w:bCs/>
                <w:sz w:val="24"/>
                <w:szCs w:val="24"/>
                <w:lang w:val="uk-UA"/>
              </w:rPr>
            </w:pPr>
            <w:r>
              <w:rPr>
                <w:b/>
                <w:bCs/>
                <w:lang w:val="uk-UA"/>
              </w:rPr>
              <w:t>0,000</w:t>
            </w:r>
          </w:p>
        </w:tc>
        <w:tc>
          <w:tcPr>
            <w:tcW w:w="19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rPr>
                <w:b/>
                <w:b/>
                <w:bCs/>
                <w:sz w:val="16"/>
                <w:szCs w:val="16"/>
                <w:lang w:val="uk-UA" w:eastAsia="uk-UA"/>
              </w:rPr>
            </w:pPr>
            <w:r>
              <w:rPr>
                <w:b/>
                <w:bCs/>
                <w:sz w:val="16"/>
                <w:szCs w:val="16"/>
                <w:lang w:val="uk-UA" w:eastAsia="uk-UA"/>
              </w:rPr>
            </w:r>
          </w:p>
        </w:tc>
        <w:tc>
          <w:tcPr>
            <w:tcW w:w="12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suppressAutoHyphens w:val="false"/>
              <w:jc w:val="center"/>
              <w:rPr>
                <w:sz w:val="16"/>
                <w:szCs w:val="16"/>
                <w:lang w:val="uk-UA" w:eastAsia="uk-UA"/>
              </w:rPr>
            </w:pPr>
            <w:r>
              <w:rPr>
                <w:sz w:val="16"/>
                <w:szCs w:val="16"/>
                <w:lang w:val="uk-UA" w:eastAsia="uk-UA"/>
              </w:rPr>
            </w:r>
          </w:p>
        </w:tc>
      </w:tr>
    </w:tbl>
    <w:p>
      <w:pPr>
        <w:pStyle w:val="16"/>
        <w:jc w:val="both"/>
        <w:rPr/>
      </w:pPr>
      <w:r>
        <w:rPr/>
      </w:r>
    </w:p>
    <w:sectPr>
      <w:headerReference w:type="default" r:id="rId3"/>
      <w:type w:val="nextPage"/>
      <w:pgSz w:orient="landscape" w:w="16838" w:h="11906"/>
      <w:pgMar w:left="567" w:right="567" w:header="708" w:top="1418" w:footer="0" w:bottom="709"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Tahoma">
    <w:charset w:val="cc"/>
    <w:family w:val="roman"/>
    <w:pitch w:val="variable"/>
  </w:font>
  <w:font w:name="Liberation Sans">
    <w:altName w:val="Arial"/>
    <w:charset w:val="cc"/>
    <w:family w:val="roman"/>
    <w:pitch w:val="variable"/>
  </w:font>
  <w:font w:name="Verdan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cent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pStyle w:val="3"/>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isplayBackgroundShape/>
  <w:embedSystemFonts/>
  <w:defaultTabStop w:val="720"/>
  <w:autoHyphenation w:val="fals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uk-UA" w:eastAsia="uk-UA" w:bidi="ar-SA"/>
      </w:rPr>
    </w:rPrDefault>
    <w:pPrDefault>
      <w:pPr/>
    </w:pPrDefault>
  </w:docDefaults>
  <w:latentStyles w:defLockedState="1"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locked="0" w:unhideWhenUsed="0"/>
    <w:lsdException w:name="No Spacing" w:locked="0" w:uiPriority="1" w:semiHidden="0" w:unhideWhenUsed="0" w:qFormat="1"/>
    <w:lsdException w:name="Light Shading" w:locked="0" w:uiPriority="60" w:semiHidden="0" w:unhideWhenUsed="0"/>
    <w:lsdException w:name="Light List" w:locked="0" w:uiPriority="61" w:semiHidden="0" w:unhideWhenUsed="0"/>
    <w:lsdException w:name="Light Grid" w:locked="0" w:uiPriority="62" w:semiHidden="0" w:unhideWhenUsed="0"/>
    <w:lsdException w:name="Medium Shading 1" w:locked="0" w:uiPriority="63" w:semiHidden="0" w:unhideWhenUsed="0"/>
    <w:lsdException w:name="Medium Shading 2" w:locked="0" w:uiPriority="64" w:semiHidden="0" w:unhideWhenUsed="0"/>
    <w:lsdException w:name="Medium List 1" w:locked="0" w:uiPriority="65" w:semiHidden="0" w:unhideWhenUsed="0"/>
    <w:lsdException w:name="Medium List 2" w:locked="0" w:uiPriority="66" w:semiHidden="0" w:unhideWhenUsed="0"/>
    <w:lsdException w:name="Medium Grid 1" w:locked="0" w:uiPriority="67" w:semiHidden="0" w:unhideWhenUsed="0"/>
    <w:lsdException w:name="Medium Grid 2" w:locked="0" w:uiPriority="68" w:semiHidden="0" w:unhideWhenUsed="0"/>
    <w:lsdException w:name="Medium Grid 3" w:locked="0" w:uiPriority="69" w:semiHidden="0" w:unhideWhenUsed="0"/>
    <w:lsdException w:name="Dark List" w:locked="0" w:uiPriority="70" w:semiHidden="0" w:unhideWhenUsed="0"/>
    <w:lsdException w:name="Colorful Shading" w:locked="0" w:uiPriority="71" w:semiHidden="0" w:unhideWhenUsed="0"/>
    <w:lsdException w:name="Colorful List" w:locked="0" w:uiPriority="72" w:semiHidden="0" w:unhideWhenUsed="0"/>
    <w:lsdException w:name="Colorful Grid" w:locked="0" w:uiPriority="73" w:semiHidden="0" w:unhideWhenUsed="0"/>
    <w:lsdException w:name="Light Shading Accent 1" w:locked="0" w:uiPriority="60" w:semiHidden="0" w:unhideWhenUsed="0"/>
    <w:lsdException w:name="Light List Accent 1" w:locked="0" w:uiPriority="61" w:semiHidden="0" w:unhideWhenUsed="0"/>
    <w:lsdException w:name="Light Grid Accent 1" w:locked="0" w:uiPriority="62" w:semiHidden="0" w:unhideWhenUsed="0"/>
    <w:lsdException w:name="Medium Shading 1 Accent 1" w:locked="0" w:uiPriority="63" w:semiHidden="0" w:unhideWhenUsed="0"/>
    <w:lsdException w:name="Medium Shading 2 Accent 1" w:locked="0" w:uiPriority="64" w:semiHidden="0" w:unhideWhenUsed="0"/>
    <w:lsdException w:name="Medium List 1 Accent 1" w:locked="0" w:uiPriority="65" w:semiHidden="0" w:unhideWhenUsed="0"/>
    <w:lsdException w:name="Revision" w:locked="0" w:unhideWhenUsed="0"/>
    <w:lsdException w:name="List Paragraph" w:locked="0" w:uiPriority="34" w:semiHidden="0" w:unhideWhenUsed="0" w:qFormat="1"/>
    <w:lsdException w:name="Quote" w:locked="0" w:uiPriority="29" w:semiHidden="0" w:unhideWhenUsed="0" w:qFormat="1"/>
    <w:lsdException w:name="Intense Quote" w:locked="0" w:uiPriority="30" w:semiHidden="0" w:unhideWhenUsed="0" w:qFormat="1"/>
    <w:lsdException w:name="Medium List 2 Accent 1" w:locked="0" w:uiPriority="66" w:semiHidden="0" w:unhideWhenUsed="0"/>
    <w:lsdException w:name="Medium Grid 1 Accent 1" w:locked="0" w:uiPriority="67" w:semiHidden="0" w:unhideWhenUsed="0"/>
    <w:lsdException w:name="Medium Grid 2 Accent 1" w:locked="0" w:uiPriority="68" w:semiHidden="0" w:unhideWhenUsed="0"/>
    <w:lsdException w:name="Medium Grid 3 Accent 1" w:locked="0" w:uiPriority="69" w:semiHidden="0" w:unhideWhenUsed="0"/>
    <w:lsdException w:name="Dark List Accent 1" w:locked="0" w:uiPriority="70" w:semiHidden="0" w:unhideWhenUsed="0"/>
    <w:lsdException w:name="Colorful Shading Accent 1" w:locked="0" w:uiPriority="71" w:semiHidden="0" w:unhideWhenUsed="0"/>
    <w:lsdException w:name="Colorful List Accent 1" w:locked="0" w:uiPriority="72" w:semiHidden="0" w:unhideWhenUsed="0"/>
    <w:lsdException w:name="Colorful Grid Accent 1" w:locked="0" w:uiPriority="73" w:semiHidden="0" w:unhideWhenUsed="0"/>
    <w:lsdException w:name="Light Shading Accent 2" w:locked="0" w:uiPriority="60" w:semiHidden="0" w:unhideWhenUsed="0"/>
    <w:lsdException w:name="Light List Accent 2" w:locked="0" w:uiPriority="61" w:semiHidden="0" w:unhideWhenUsed="0"/>
    <w:lsdException w:name="Light Grid Accent 2" w:locked="0" w:uiPriority="62" w:semiHidden="0" w:unhideWhenUsed="0"/>
    <w:lsdException w:name="Medium Shading 1 Accent 2" w:locked="0" w:uiPriority="63" w:semiHidden="0" w:unhideWhenUsed="0"/>
    <w:lsdException w:name="Medium Shading 2 Accent 2" w:locked="0" w:uiPriority="64" w:semiHidden="0" w:unhideWhenUsed="0"/>
    <w:lsdException w:name="Medium List 1 Accent 2" w:locked="0" w:uiPriority="65" w:semiHidden="0" w:unhideWhenUsed="0"/>
    <w:lsdException w:name="Medium List 2 Accent 2" w:locked="0" w:uiPriority="66" w:semiHidden="0" w:unhideWhenUsed="0"/>
    <w:lsdException w:name="Medium Grid 1 Accent 2" w:locked="0" w:uiPriority="67" w:semiHidden="0" w:unhideWhenUsed="0"/>
    <w:lsdException w:name="Medium Grid 2 Accent 2" w:locked="0" w:uiPriority="68" w:semiHidden="0" w:unhideWhenUsed="0"/>
    <w:lsdException w:name="Medium Grid 3 Accent 2" w:locked="0" w:uiPriority="69" w:semiHidden="0" w:unhideWhenUsed="0"/>
    <w:lsdException w:name="Dark List Accent 2" w:locked="0" w:uiPriority="70" w:semiHidden="0" w:unhideWhenUsed="0"/>
    <w:lsdException w:name="Colorful Shading Accent 2" w:locked="0" w:uiPriority="71" w:semiHidden="0" w:unhideWhenUsed="0"/>
    <w:lsdException w:name="Colorful List Accent 2" w:locked="0" w:uiPriority="72" w:semiHidden="0" w:unhideWhenUsed="0"/>
    <w:lsdException w:name="Colorful Grid Accent 2" w:locked="0" w:uiPriority="73" w:semiHidden="0" w:unhideWhenUsed="0"/>
    <w:lsdException w:name="Light Shading Accent 3" w:locked="0" w:uiPriority="60" w:semiHidden="0" w:unhideWhenUsed="0"/>
    <w:lsdException w:name="Light List Accent 3" w:locked="0" w:uiPriority="61" w:semiHidden="0" w:unhideWhenUsed="0"/>
    <w:lsdException w:name="Light Grid Accent 3" w:locked="0" w:uiPriority="62" w:semiHidden="0" w:unhideWhenUsed="0"/>
    <w:lsdException w:name="Medium Shading 1 Accent 3" w:locked="0" w:uiPriority="63" w:semiHidden="0" w:unhideWhenUsed="0"/>
    <w:lsdException w:name="Medium Shading 2 Accent 3" w:locked="0" w:uiPriority="64" w:semiHidden="0" w:unhideWhenUsed="0"/>
    <w:lsdException w:name="Medium List 1 Accent 3" w:locked="0" w:uiPriority="65" w:semiHidden="0" w:unhideWhenUsed="0"/>
    <w:lsdException w:name="Medium List 2 Accent 3" w:locked="0" w:uiPriority="66" w:semiHidden="0" w:unhideWhenUsed="0"/>
    <w:lsdException w:name="Medium Grid 1 Accent 3" w:locked="0" w:uiPriority="67" w:semiHidden="0" w:unhideWhenUsed="0"/>
    <w:lsdException w:name="Medium Grid 2 Accent 3" w:locked="0" w:uiPriority="68" w:semiHidden="0" w:unhideWhenUsed="0"/>
    <w:lsdException w:name="Medium Grid 3 Accent 3" w:locked="0" w:uiPriority="69" w:semiHidden="0" w:unhideWhenUsed="0"/>
    <w:lsdException w:name="Dark List Accent 3" w:locked="0" w:uiPriority="70" w:semiHidden="0" w:unhideWhenUsed="0"/>
    <w:lsdException w:name="Colorful Shading Accent 3" w:locked="0" w:uiPriority="71" w:semiHidden="0" w:unhideWhenUsed="0"/>
    <w:lsdException w:name="Colorful List Accent 3" w:locked="0" w:uiPriority="72" w:semiHidden="0" w:unhideWhenUsed="0"/>
    <w:lsdException w:name="Colorful Grid Accent 3" w:locked="0" w:uiPriority="73" w:semiHidden="0" w:unhideWhenUsed="0"/>
    <w:lsdException w:name="Light Shading Accent 4" w:locked="0" w:uiPriority="60" w:semiHidden="0" w:unhideWhenUsed="0"/>
    <w:lsdException w:name="Light List Accent 4" w:locked="0" w:uiPriority="61" w:semiHidden="0" w:unhideWhenUsed="0"/>
    <w:lsdException w:name="Light Grid Accent 4" w:locked="0" w:uiPriority="62" w:semiHidden="0" w:unhideWhenUsed="0"/>
    <w:lsdException w:name="Medium Shading 1 Accent 4" w:locked="0" w:uiPriority="63" w:semiHidden="0" w:unhideWhenUsed="0"/>
    <w:lsdException w:name="Medium Shading 2 Accent 4" w:locked="0" w:uiPriority="64" w:semiHidden="0" w:unhideWhenUsed="0"/>
    <w:lsdException w:name="Medium List 1 Accent 4" w:locked="0" w:uiPriority="65" w:semiHidden="0" w:unhideWhenUsed="0"/>
    <w:lsdException w:name="Medium List 2 Accent 4" w:locked="0" w:uiPriority="66" w:semiHidden="0" w:unhideWhenUsed="0"/>
    <w:lsdException w:name="Medium Grid 1 Accent 4" w:locked="0" w:uiPriority="67" w:semiHidden="0" w:unhideWhenUsed="0"/>
    <w:lsdException w:name="Medium Grid 2 Accent 4" w:locked="0" w:uiPriority="68" w:semiHidden="0" w:unhideWhenUsed="0"/>
    <w:lsdException w:name="Medium Grid 3 Accent 4" w:locked="0" w:uiPriority="69" w:semiHidden="0" w:unhideWhenUsed="0"/>
    <w:lsdException w:name="Dark List Accent 4" w:locked="0" w:uiPriority="70" w:semiHidden="0" w:unhideWhenUsed="0"/>
    <w:lsdException w:name="Colorful Shading Accent 4" w:locked="0" w:uiPriority="71" w:semiHidden="0" w:unhideWhenUsed="0"/>
    <w:lsdException w:name="Colorful List Accent 4" w:locked="0" w:uiPriority="72" w:semiHidden="0" w:unhideWhenUsed="0"/>
    <w:lsdException w:name="Colorful Grid Accent 4" w:locked="0" w:uiPriority="73" w:semiHidden="0" w:unhideWhenUsed="0"/>
    <w:lsdException w:name="Light Shading Accent 5" w:locked="0" w:uiPriority="60" w:semiHidden="0" w:unhideWhenUsed="0"/>
    <w:lsdException w:name="Light List Accent 5" w:locked="0" w:uiPriority="61" w:semiHidden="0" w:unhideWhenUsed="0"/>
    <w:lsdException w:name="Light Grid Accent 5" w:locked="0" w:uiPriority="62" w:semiHidden="0" w:unhideWhenUsed="0"/>
    <w:lsdException w:name="Medium Shading 1 Accent 5" w:locked="0" w:uiPriority="63" w:semiHidden="0" w:unhideWhenUsed="0"/>
    <w:lsdException w:name="Medium Shading 2 Accent 5" w:locked="0" w:uiPriority="64" w:semiHidden="0" w:unhideWhenUsed="0"/>
    <w:lsdException w:name="Medium List 1 Accent 5" w:locked="0" w:uiPriority="65" w:semiHidden="0" w:unhideWhenUsed="0"/>
    <w:lsdException w:name="Medium List 2 Accent 5" w:locked="0" w:uiPriority="66" w:semiHidden="0" w:unhideWhenUsed="0"/>
    <w:lsdException w:name="Medium Grid 1 Accent 5" w:locked="0" w:uiPriority="67" w:semiHidden="0" w:unhideWhenUsed="0"/>
    <w:lsdException w:name="Medium Grid 2 Accent 5" w:locked="0" w:uiPriority="68" w:semiHidden="0" w:unhideWhenUsed="0"/>
    <w:lsdException w:name="Medium Grid 3 Accent 5" w:locked="0" w:uiPriority="69" w:semiHidden="0" w:unhideWhenUsed="0"/>
    <w:lsdException w:name="Dark List Accent 5" w:locked="0" w:uiPriority="70" w:semiHidden="0" w:unhideWhenUsed="0"/>
    <w:lsdException w:name="Colorful Shading Accent 5" w:locked="0" w:uiPriority="71" w:semiHidden="0" w:unhideWhenUsed="0"/>
    <w:lsdException w:name="Colorful List Accent 5" w:locked="0" w:uiPriority="72" w:semiHidden="0" w:unhideWhenUsed="0"/>
    <w:lsdException w:name="Colorful Grid Accent 5" w:locked="0" w:uiPriority="73" w:semiHidden="0" w:unhideWhenUsed="0"/>
    <w:lsdException w:name="Light Shading Accent 6" w:locked="0" w:uiPriority="60" w:semiHidden="0" w:unhideWhenUsed="0"/>
    <w:lsdException w:name="Light List Accent 6" w:locked="0" w:uiPriority="61" w:semiHidden="0" w:unhideWhenUsed="0"/>
    <w:lsdException w:name="Light Grid Accent 6" w:locked="0" w:uiPriority="62" w:semiHidden="0" w:unhideWhenUsed="0"/>
    <w:lsdException w:name="Medium Shading 1 Accent 6" w:locked="0" w:uiPriority="63" w:semiHidden="0" w:unhideWhenUsed="0"/>
    <w:lsdException w:name="Medium Shading 2 Accent 6" w:locked="0" w:uiPriority="64" w:semiHidden="0" w:unhideWhenUsed="0"/>
    <w:lsdException w:name="Medium List 1 Accent 6" w:locked="0" w:uiPriority="65" w:semiHidden="0" w:unhideWhenUsed="0"/>
    <w:lsdException w:name="Medium List 2 Accent 6" w:locked="0" w:uiPriority="66" w:semiHidden="0" w:unhideWhenUsed="0"/>
    <w:lsdException w:name="Medium Grid 1 Accent 6" w:locked="0" w:uiPriority="67" w:semiHidden="0" w:unhideWhenUsed="0"/>
    <w:lsdException w:name="Medium Grid 2 Accent 6" w:locked="0" w:uiPriority="68" w:semiHidden="0" w:unhideWhenUsed="0"/>
    <w:lsdException w:name="Medium Grid 3 Accent 6" w:locked="0" w:uiPriority="69" w:semiHidden="0" w:unhideWhenUsed="0"/>
    <w:lsdException w:name="Dark List Accent 6" w:locked="0" w:uiPriority="70" w:semiHidden="0" w:unhideWhenUsed="0"/>
    <w:lsdException w:name="Colorful Shading Accent 6" w:locked="0" w:uiPriority="71" w:semiHidden="0" w:unhideWhenUsed="0"/>
    <w:lsdException w:name="Colorful List Accent 6" w:locked="0" w:uiPriority="72" w:semiHidden="0" w:unhideWhenUsed="0"/>
    <w:lsdException w:name="Colorful Grid Accent 6" w:locked="0" w:uiPriority="73" w:semiHidden="0" w:unhideWhenUsed="0"/>
    <w:lsdException w:name="Subtle Emphasis" w:locked="0" w:uiPriority="19" w:semiHidden="0" w:unhideWhenUsed="0" w:qFormat="1"/>
    <w:lsdException w:name="Intense Emphasis" w:locked="0" w:uiPriority="21" w:semiHidden="0" w:unhideWhenUsed="0" w:qFormat="1"/>
    <w:lsdException w:name="Subtle Reference" w:locked="0" w:uiPriority="31" w:semiHidden="0" w:unhideWhenUsed="0" w:qFormat="1"/>
    <w:lsdException w:name="Intense Reference" w:locked="0" w:uiPriority="32" w:semiHidden="0" w:unhideWhenUsed="0" w:qFormat="1"/>
    <w:lsdException w:name="Book Title" w:locked="0" w:uiPriority="33" w:semiHidden="0" w:unhideWhenUsed="0" w:qFormat="1"/>
    <w:lsdException w:name="Bibliography" w:locked="0" w:uiPriority="37"/>
    <w:lsdException w:name="TOC Heading" w:locked="0" w:uiPriority="39" w:qFormat="1"/>
  </w:latentStyles>
  <w:style w:type="paragraph" w:styleId="Normal" w:default="1">
    <w:name w:val="Normal"/>
    <w:qFormat/>
    <w:rsid w:val="00794da3"/>
    <w:pPr>
      <w:widowControl/>
      <w:suppressAutoHyphens w:val="true"/>
      <w:bidi w:val="0"/>
      <w:jc w:val="left"/>
    </w:pPr>
    <w:rPr>
      <w:rFonts w:ascii="Times New Roman" w:hAnsi="Times New Roman" w:eastAsia="Times New Roman" w:cs="Times New Roman"/>
      <w:color w:val="auto"/>
      <w:sz w:val="20"/>
      <w:szCs w:val="20"/>
      <w:lang w:val="en-US" w:eastAsia="zh-CN" w:bidi="ar-SA"/>
    </w:rPr>
  </w:style>
  <w:style w:type="paragraph" w:styleId="1">
    <w:name w:val="Heading 1"/>
    <w:basedOn w:val="Normal"/>
    <w:next w:val="Normal"/>
    <w:link w:val="Heading1Char"/>
    <w:uiPriority w:val="99"/>
    <w:qFormat/>
    <w:rsid w:val="00794da3"/>
    <w:pPr>
      <w:keepNext/>
      <w:numPr>
        <w:ilvl w:val="0"/>
        <w:numId w:val="1"/>
      </w:numPr>
      <w:spacing w:before="240" w:after="60"/>
      <w:outlineLvl w:val="0"/>
      <w:outlineLvl w:val="0"/>
    </w:pPr>
    <w:rPr>
      <w:rFonts w:ascii="Cambria" w:hAnsi="Cambria" w:cs="Cambria"/>
      <w:b/>
      <w:bCs/>
      <w:sz w:val="32"/>
      <w:szCs w:val="32"/>
    </w:rPr>
  </w:style>
  <w:style w:type="paragraph" w:styleId="2">
    <w:name w:val="Heading 2"/>
    <w:basedOn w:val="Normal"/>
    <w:next w:val="Normal"/>
    <w:link w:val="Heading2Char"/>
    <w:uiPriority w:val="99"/>
    <w:qFormat/>
    <w:rsid w:val="00794da3"/>
    <w:pPr>
      <w:keepNext/>
      <w:numPr>
        <w:ilvl w:val="1"/>
        <w:numId w:val="1"/>
      </w:numPr>
      <w:spacing w:before="240" w:after="60"/>
      <w:outlineLvl w:val="1"/>
      <w:outlineLvl w:val="1"/>
    </w:pPr>
    <w:rPr>
      <w:rFonts w:ascii="Cambria" w:hAnsi="Cambria" w:cs="Cambria"/>
      <w:b/>
      <w:bCs/>
      <w:i/>
      <w:iCs/>
      <w:sz w:val="28"/>
      <w:szCs w:val="28"/>
    </w:rPr>
  </w:style>
  <w:style w:type="paragraph" w:styleId="3">
    <w:name w:val="Heading 3"/>
    <w:basedOn w:val="Normal"/>
    <w:next w:val="Normal"/>
    <w:link w:val="Heading3Char"/>
    <w:uiPriority w:val="99"/>
    <w:qFormat/>
    <w:rsid w:val="00794da3"/>
    <w:pPr>
      <w:keepNext/>
      <w:numPr>
        <w:ilvl w:val="2"/>
        <w:numId w:val="1"/>
      </w:numPr>
      <w:spacing w:before="240" w:after="60"/>
      <w:outlineLvl w:val="2"/>
      <w:outlineLvl w:val="2"/>
    </w:pPr>
    <w:rPr>
      <w:rFonts w:ascii="Cambria" w:hAnsi="Cambria" w:cs="Cambria"/>
      <w:b/>
      <w:bCs/>
      <w:sz w:val="26"/>
      <w:szCs w:val="26"/>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a41880"/>
    <w:rPr>
      <w:rFonts w:ascii="Cambria" w:hAnsi="Cambria" w:cs="Cambria"/>
      <w:b/>
      <w:bCs/>
      <w:sz w:val="32"/>
      <w:szCs w:val="32"/>
      <w:lang w:val="en-US" w:eastAsia="zh-CN"/>
    </w:rPr>
  </w:style>
  <w:style w:type="character" w:styleId="Heading2Char" w:customStyle="1">
    <w:name w:val="Heading 2 Char"/>
    <w:basedOn w:val="DefaultParagraphFont"/>
    <w:link w:val="Heading2"/>
    <w:uiPriority w:val="99"/>
    <w:semiHidden/>
    <w:qFormat/>
    <w:locked/>
    <w:rsid w:val="00a41880"/>
    <w:rPr>
      <w:rFonts w:ascii="Cambria" w:hAnsi="Cambria" w:cs="Cambria"/>
      <w:b/>
      <w:bCs/>
      <w:i/>
      <w:iCs/>
      <w:sz w:val="28"/>
      <w:szCs w:val="28"/>
      <w:lang w:val="en-US" w:eastAsia="zh-CN"/>
    </w:rPr>
  </w:style>
  <w:style w:type="character" w:styleId="Heading3Char" w:customStyle="1">
    <w:name w:val="Heading 3 Char"/>
    <w:basedOn w:val="DefaultParagraphFont"/>
    <w:link w:val="Heading3"/>
    <w:uiPriority w:val="99"/>
    <w:semiHidden/>
    <w:qFormat/>
    <w:locked/>
    <w:rsid w:val="00a41880"/>
    <w:rPr>
      <w:rFonts w:ascii="Cambria" w:hAnsi="Cambria" w:cs="Cambria"/>
      <w:b/>
      <w:bCs/>
      <w:sz w:val="26"/>
      <w:szCs w:val="26"/>
      <w:lang w:val="en-US" w:eastAsia="zh-CN"/>
    </w:rPr>
  </w:style>
  <w:style w:type="character" w:styleId="WW8Num1z0" w:customStyle="1">
    <w:name w:val="WW8Num1z0"/>
    <w:uiPriority w:val="99"/>
    <w:qFormat/>
    <w:rsid w:val="00794da3"/>
    <w:rPr/>
  </w:style>
  <w:style w:type="character" w:styleId="WW8Num1z1" w:customStyle="1">
    <w:name w:val="WW8Num1z1"/>
    <w:uiPriority w:val="99"/>
    <w:qFormat/>
    <w:rsid w:val="00794da3"/>
    <w:rPr/>
  </w:style>
  <w:style w:type="character" w:styleId="WW8Num1z2" w:customStyle="1">
    <w:name w:val="WW8Num1z2"/>
    <w:uiPriority w:val="99"/>
    <w:qFormat/>
    <w:rsid w:val="00794da3"/>
    <w:rPr/>
  </w:style>
  <w:style w:type="character" w:styleId="WW8Num1z3" w:customStyle="1">
    <w:name w:val="WW8Num1z3"/>
    <w:uiPriority w:val="99"/>
    <w:qFormat/>
    <w:rsid w:val="00794da3"/>
    <w:rPr/>
  </w:style>
  <w:style w:type="character" w:styleId="WW8Num1z4" w:customStyle="1">
    <w:name w:val="WW8Num1z4"/>
    <w:uiPriority w:val="99"/>
    <w:qFormat/>
    <w:rsid w:val="00794da3"/>
    <w:rPr/>
  </w:style>
  <w:style w:type="character" w:styleId="WW8Num1z5" w:customStyle="1">
    <w:name w:val="WW8Num1z5"/>
    <w:uiPriority w:val="99"/>
    <w:qFormat/>
    <w:rsid w:val="00794da3"/>
    <w:rPr/>
  </w:style>
  <w:style w:type="character" w:styleId="WW8Num1z6" w:customStyle="1">
    <w:name w:val="WW8Num1z6"/>
    <w:uiPriority w:val="99"/>
    <w:qFormat/>
    <w:rsid w:val="00794da3"/>
    <w:rPr/>
  </w:style>
  <w:style w:type="character" w:styleId="WW8Num1z7" w:customStyle="1">
    <w:name w:val="WW8Num1z7"/>
    <w:uiPriority w:val="99"/>
    <w:qFormat/>
    <w:rsid w:val="00794da3"/>
    <w:rPr/>
  </w:style>
  <w:style w:type="character" w:styleId="WW8Num1z8" w:customStyle="1">
    <w:name w:val="WW8Num1z8"/>
    <w:uiPriority w:val="99"/>
    <w:qFormat/>
    <w:rsid w:val="00794da3"/>
    <w:rPr/>
  </w:style>
  <w:style w:type="character" w:styleId="11" w:customStyle="1">
    <w:name w:val="Основной шрифт абзаца1"/>
    <w:uiPriority w:val="99"/>
    <w:qFormat/>
    <w:rsid w:val="00794da3"/>
    <w:rPr/>
  </w:style>
  <w:style w:type="character" w:styleId="21" w:customStyle="1">
    <w:name w:val="Основной шрифт абзаца2"/>
    <w:uiPriority w:val="99"/>
    <w:qFormat/>
    <w:rsid w:val="00794da3"/>
    <w:rPr/>
  </w:style>
  <w:style w:type="character" w:styleId="Rvts9" w:customStyle="1">
    <w:name w:val="rvts9"/>
    <w:uiPriority w:val="99"/>
    <w:qFormat/>
    <w:rsid w:val="00794da3"/>
    <w:rPr/>
  </w:style>
  <w:style w:type="character" w:styleId="Style11" w:customStyle="1">
    <w:name w:val="Верхний колонтитул Знак"/>
    <w:uiPriority w:val="99"/>
    <w:qFormat/>
    <w:rsid w:val="00794da3"/>
    <w:rPr>
      <w:sz w:val="24"/>
      <w:szCs w:val="24"/>
      <w:lang w:val="x-none" w:eastAsia="zh-CN"/>
    </w:rPr>
  </w:style>
  <w:style w:type="character" w:styleId="Style12" w:customStyle="1">
    <w:name w:val="Текст выноски Знак"/>
    <w:uiPriority w:val="99"/>
    <w:qFormat/>
    <w:rsid w:val="00794da3"/>
    <w:rPr>
      <w:rFonts w:ascii="Tahoma" w:hAnsi="Tahoma" w:cs="Tahoma"/>
      <w:sz w:val="14"/>
      <w:szCs w:val="14"/>
      <w:lang w:val="en-US" w:eastAsia="zh-CN"/>
    </w:rPr>
  </w:style>
  <w:style w:type="character" w:styleId="Rvts7" w:customStyle="1">
    <w:name w:val="rvts7"/>
    <w:uiPriority w:val="99"/>
    <w:qFormat/>
    <w:rsid w:val="00794da3"/>
    <w:rPr/>
  </w:style>
  <w:style w:type="character" w:styleId="31" w:customStyle="1">
    <w:name w:val="Заголовок 3 Знак"/>
    <w:uiPriority w:val="99"/>
    <w:qFormat/>
    <w:rsid w:val="00794da3"/>
    <w:rPr>
      <w:b/>
      <w:bCs/>
      <w:lang w:val="en-US" w:eastAsia="zh-CN"/>
    </w:rPr>
  </w:style>
  <w:style w:type="character" w:styleId="12" w:customStyle="1">
    <w:name w:val="Гіперпосилання1"/>
    <w:uiPriority w:val="99"/>
    <w:qFormat/>
    <w:rsid w:val="00794da3"/>
    <w:rPr>
      <w:color w:val="0000FF"/>
      <w:u w:val="single"/>
    </w:rPr>
  </w:style>
  <w:style w:type="character" w:styleId="Strong">
    <w:name w:val="Strong"/>
    <w:basedOn w:val="DefaultParagraphFont"/>
    <w:uiPriority w:val="99"/>
    <w:qFormat/>
    <w:rsid w:val="00794da3"/>
    <w:rPr>
      <w:b/>
      <w:bCs/>
    </w:rPr>
  </w:style>
  <w:style w:type="character" w:styleId="Style13" w:customStyle="1">
    <w:name w:val="Нижний колонтитул Знак"/>
    <w:uiPriority w:val="99"/>
    <w:qFormat/>
    <w:rsid w:val="00794da3"/>
    <w:rPr>
      <w:sz w:val="18"/>
      <w:szCs w:val="18"/>
      <w:lang w:val="en-US" w:eastAsia="zh-CN"/>
    </w:rPr>
  </w:style>
  <w:style w:type="character" w:styleId="22" w:customStyle="1">
    <w:name w:val="Основной текст с отступом 2 Знак"/>
    <w:uiPriority w:val="99"/>
    <w:qFormat/>
    <w:locked/>
    <w:rsid w:val="00794da3"/>
    <w:rPr>
      <w:sz w:val="18"/>
      <w:szCs w:val="18"/>
      <w:lang w:val="en-US" w:eastAsia="zh-CN"/>
    </w:rPr>
  </w:style>
  <w:style w:type="character" w:styleId="BodyText3Char" w:customStyle="1">
    <w:name w:val="Body Text 3 Char"/>
    <w:uiPriority w:val="99"/>
    <w:qFormat/>
    <w:locked/>
    <w:rsid w:val="00794da3"/>
    <w:rPr>
      <w:sz w:val="14"/>
      <w:szCs w:val="14"/>
      <w:lang w:val="en-US" w:eastAsia="zh-CN"/>
    </w:rPr>
  </w:style>
  <w:style w:type="character" w:styleId="Rvts0" w:customStyle="1">
    <w:name w:val="rvts0"/>
    <w:uiPriority w:val="99"/>
    <w:qFormat/>
    <w:rsid w:val="00794da3"/>
    <w:rPr>
      <w:rFonts w:ascii="Times New Roman" w:hAnsi="Times New Roman" w:cs="Times New Roman"/>
    </w:rPr>
  </w:style>
  <w:style w:type="character" w:styleId="ListLabel1" w:customStyle="1">
    <w:name w:val="ListLabel 1"/>
    <w:uiPriority w:val="99"/>
    <w:qFormat/>
    <w:rsid w:val="00794da3"/>
    <w:rPr/>
  </w:style>
  <w:style w:type="character" w:styleId="ListLabel2" w:customStyle="1">
    <w:name w:val="ListLabel 2"/>
    <w:uiPriority w:val="99"/>
    <w:qFormat/>
    <w:rsid w:val="00794da3"/>
    <w:rPr/>
  </w:style>
  <w:style w:type="character" w:styleId="ListLabel3" w:customStyle="1">
    <w:name w:val="ListLabel 3"/>
    <w:uiPriority w:val="99"/>
    <w:qFormat/>
    <w:rsid w:val="00794da3"/>
    <w:rPr/>
  </w:style>
  <w:style w:type="character" w:styleId="ListLabel4" w:customStyle="1">
    <w:name w:val="ListLabel 4"/>
    <w:uiPriority w:val="99"/>
    <w:qFormat/>
    <w:rsid w:val="00794da3"/>
    <w:rPr/>
  </w:style>
  <w:style w:type="character" w:styleId="ListLabel5" w:customStyle="1">
    <w:name w:val="ListLabel 5"/>
    <w:uiPriority w:val="99"/>
    <w:qFormat/>
    <w:rsid w:val="00794da3"/>
    <w:rPr/>
  </w:style>
  <w:style w:type="character" w:styleId="ListLabel6" w:customStyle="1">
    <w:name w:val="ListLabel 6"/>
    <w:uiPriority w:val="99"/>
    <w:qFormat/>
    <w:rsid w:val="00794da3"/>
    <w:rPr/>
  </w:style>
  <w:style w:type="character" w:styleId="ListLabel7" w:customStyle="1">
    <w:name w:val="ListLabel 7"/>
    <w:uiPriority w:val="99"/>
    <w:qFormat/>
    <w:rsid w:val="00794da3"/>
    <w:rPr/>
  </w:style>
  <w:style w:type="character" w:styleId="ListLabel8" w:customStyle="1">
    <w:name w:val="ListLabel 8"/>
    <w:uiPriority w:val="99"/>
    <w:qFormat/>
    <w:rsid w:val="00794da3"/>
    <w:rPr/>
  </w:style>
  <w:style w:type="character" w:styleId="ListLabel9" w:customStyle="1">
    <w:name w:val="ListLabel 9"/>
    <w:uiPriority w:val="99"/>
    <w:qFormat/>
    <w:rsid w:val="00794da3"/>
    <w:rPr/>
  </w:style>
  <w:style w:type="character" w:styleId="ListLabel10" w:customStyle="1">
    <w:name w:val="ListLabel 10"/>
    <w:uiPriority w:val="99"/>
    <w:qFormat/>
    <w:rsid w:val="00794da3"/>
    <w:rPr/>
  </w:style>
  <w:style w:type="character" w:styleId="ListLabel11" w:customStyle="1">
    <w:name w:val="ListLabel 11"/>
    <w:uiPriority w:val="99"/>
    <w:qFormat/>
    <w:rsid w:val="00794da3"/>
    <w:rPr/>
  </w:style>
  <w:style w:type="character" w:styleId="ListLabel12" w:customStyle="1">
    <w:name w:val="ListLabel 12"/>
    <w:uiPriority w:val="99"/>
    <w:qFormat/>
    <w:rsid w:val="00794da3"/>
    <w:rPr/>
  </w:style>
  <w:style w:type="character" w:styleId="ListLabel13" w:customStyle="1">
    <w:name w:val="ListLabel 13"/>
    <w:uiPriority w:val="99"/>
    <w:qFormat/>
    <w:rsid w:val="00794da3"/>
    <w:rPr/>
  </w:style>
  <w:style w:type="character" w:styleId="ListLabel14" w:customStyle="1">
    <w:name w:val="ListLabel 14"/>
    <w:uiPriority w:val="99"/>
    <w:qFormat/>
    <w:rsid w:val="00794da3"/>
    <w:rPr/>
  </w:style>
  <w:style w:type="character" w:styleId="ListLabel15" w:customStyle="1">
    <w:name w:val="ListLabel 15"/>
    <w:uiPriority w:val="99"/>
    <w:qFormat/>
    <w:rsid w:val="00794da3"/>
    <w:rPr/>
  </w:style>
  <w:style w:type="character" w:styleId="ListLabel16" w:customStyle="1">
    <w:name w:val="ListLabel 16"/>
    <w:uiPriority w:val="99"/>
    <w:qFormat/>
    <w:rsid w:val="00794da3"/>
    <w:rPr/>
  </w:style>
  <w:style w:type="character" w:styleId="ListLabel17" w:customStyle="1">
    <w:name w:val="ListLabel 17"/>
    <w:uiPriority w:val="99"/>
    <w:qFormat/>
    <w:rsid w:val="00794da3"/>
    <w:rPr/>
  </w:style>
  <w:style w:type="character" w:styleId="ListLabel18" w:customStyle="1">
    <w:name w:val="ListLabel 18"/>
    <w:uiPriority w:val="99"/>
    <w:qFormat/>
    <w:rsid w:val="00794da3"/>
    <w:rPr/>
  </w:style>
  <w:style w:type="character" w:styleId="ListLabel19" w:customStyle="1">
    <w:name w:val="ListLabel 19"/>
    <w:uiPriority w:val="99"/>
    <w:qFormat/>
    <w:rsid w:val="00794da3"/>
    <w:rPr>
      <w:rFonts w:eastAsia="Times New Roman"/>
    </w:rPr>
  </w:style>
  <w:style w:type="character" w:styleId="ListLabel20" w:customStyle="1">
    <w:name w:val="ListLabel 20"/>
    <w:uiPriority w:val="99"/>
    <w:qFormat/>
    <w:rsid w:val="00794da3"/>
    <w:rPr/>
  </w:style>
  <w:style w:type="character" w:styleId="ListLabel21" w:customStyle="1">
    <w:name w:val="ListLabel 21"/>
    <w:uiPriority w:val="99"/>
    <w:qFormat/>
    <w:rsid w:val="00794da3"/>
    <w:rPr/>
  </w:style>
  <w:style w:type="character" w:styleId="ListLabel22" w:customStyle="1">
    <w:name w:val="ListLabel 22"/>
    <w:uiPriority w:val="99"/>
    <w:qFormat/>
    <w:rsid w:val="00794da3"/>
    <w:rPr/>
  </w:style>
  <w:style w:type="character" w:styleId="BodyTextChar" w:customStyle="1">
    <w:name w:val="Body Text Char"/>
    <w:basedOn w:val="DefaultParagraphFont"/>
    <w:link w:val="BodyText"/>
    <w:uiPriority w:val="99"/>
    <w:semiHidden/>
    <w:qFormat/>
    <w:locked/>
    <w:rsid w:val="00a41880"/>
    <w:rPr>
      <w:sz w:val="20"/>
      <w:szCs w:val="20"/>
      <w:lang w:val="en-US" w:eastAsia="zh-CN"/>
    </w:rPr>
  </w:style>
  <w:style w:type="character" w:styleId="SubtitleChar" w:customStyle="1">
    <w:name w:val="Subtitle Char"/>
    <w:basedOn w:val="DefaultParagraphFont"/>
    <w:link w:val="Subtitle"/>
    <w:uiPriority w:val="99"/>
    <w:qFormat/>
    <w:locked/>
    <w:rsid w:val="00a41880"/>
    <w:rPr>
      <w:rFonts w:ascii="Cambria" w:hAnsi="Cambria" w:cs="Cambria"/>
      <w:sz w:val="24"/>
      <w:szCs w:val="24"/>
      <w:lang w:val="en-US" w:eastAsia="zh-CN"/>
    </w:rPr>
  </w:style>
  <w:style w:type="character" w:styleId="TitleChar" w:customStyle="1">
    <w:name w:val="Title Char"/>
    <w:basedOn w:val="DefaultParagraphFont"/>
    <w:link w:val="Title"/>
    <w:uiPriority w:val="99"/>
    <w:qFormat/>
    <w:locked/>
    <w:rsid w:val="00a41880"/>
    <w:rPr>
      <w:rFonts w:ascii="Cambria" w:hAnsi="Cambria" w:cs="Cambria"/>
      <w:b/>
      <w:bCs/>
      <w:sz w:val="32"/>
      <w:szCs w:val="32"/>
      <w:lang w:val="en-US" w:eastAsia="zh-CN"/>
    </w:rPr>
  </w:style>
  <w:style w:type="character" w:styleId="HeaderChar" w:customStyle="1">
    <w:name w:val="Header Char"/>
    <w:basedOn w:val="DefaultParagraphFont"/>
    <w:link w:val="Header"/>
    <w:uiPriority w:val="99"/>
    <w:semiHidden/>
    <w:qFormat/>
    <w:locked/>
    <w:rsid w:val="00a41880"/>
    <w:rPr>
      <w:sz w:val="20"/>
      <w:szCs w:val="20"/>
      <w:lang w:val="en-US" w:eastAsia="zh-CN"/>
    </w:rPr>
  </w:style>
  <w:style w:type="character" w:styleId="BalloonTextChar" w:customStyle="1">
    <w:name w:val="Balloon Text Char"/>
    <w:basedOn w:val="DefaultParagraphFont"/>
    <w:link w:val="BalloonText"/>
    <w:uiPriority w:val="99"/>
    <w:semiHidden/>
    <w:qFormat/>
    <w:locked/>
    <w:rsid w:val="00a41880"/>
    <w:rPr>
      <w:sz w:val="2"/>
      <w:szCs w:val="2"/>
      <w:lang w:val="en-US" w:eastAsia="zh-CN"/>
    </w:rPr>
  </w:style>
  <w:style w:type="character" w:styleId="FooterChar" w:customStyle="1">
    <w:name w:val="Footer Char"/>
    <w:basedOn w:val="DefaultParagraphFont"/>
    <w:link w:val="Footer"/>
    <w:uiPriority w:val="99"/>
    <w:semiHidden/>
    <w:qFormat/>
    <w:locked/>
    <w:rsid w:val="00a41880"/>
    <w:rPr>
      <w:sz w:val="20"/>
      <w:szCs w:val="20"/>
      <w:lang w:val="en-US" w:eastAsia="zh-CN"/>
    </w:rPr>
  </w:style>
  <w:style w:type="character" w:styleId="BodyTextIndent2Char1" w:customStyle="1">
    <w:name w:val="Body Text Indent 2 Char1"/>
    <w:basedOn w:val="DefaultParagraphFont"/>
    <w:link w:val="BodyTextIndent2"/>
    <w:uiPriority w:val="99"/>
    <w:semiHidden/>
    <w:qFormat/>
    <w:locked/>
    <w:rsid w:val="00a41880"/>
    <w:rPr>
      <w:sz w:val="20"/>
      <w:szCs w:val="20"/>
      <w:lang w:val="en-US" w:eastAsia="zh-CN"/>
    </w:rPr>
  </w:style>
  <w:style w:type="character" w:styleId="BodyText3Char1" w:customStyle="1">
    <w:name w:val="Body Text 3 Char1"/>
    <w:basedOn w:val="DefaultParagraphFont"/>
    <w:link w:val="BodyText3"/>
    <w:uiPriority w:val="99"/>
    <w:semiHidden/>
    <w:qFormat/>
    <w:locked/>
    <w:rsid w:val="00a41880"/>
    <w:rPr>
      <w:sz w:val="16"/>
      <w:szCs w:val="16"/>
      <w:lang w:val="en-US" w:eastAsia="zh-CN"/>
    </w:rPr>
  </w:style>
  <w:style w:type="character" w:styleId="BodyText2Char" w:customStyle="1">
    <w:name w:val="Body Text 2 Char"/>
    <w:basedOn w:val="DefaultParagraphFont"/>
    <w:link w:val="BodyText2"/>
    <w:uiPriority w:val="99"/>
    <w:semiHidden/>
    <w:qFormat/>
    <w:locked/>
    <w:rsid w:val="00a41880"/>
    <w:rPr>
      <w:sz w:val="20"/>
      <w:szCs w:val="20"/>
      <w:lang w:val="en-US" w:eastAsia="zh-CN"/>
    </w:rPr>
  </w:style>
  <w:style w:type="character" w:styleId="Docdata" w:customStyle="1">
    <w:name w:val="docdata"/>
    <w:uiPriority w:val="99"/>
    <w:qFormat/>
    <w:rsid w:val="00ec7229"/>
    <w:rPr/>
  </w:style>
  <w:style w:type="character" w:styleId="ListLabel23">
    <w:name w:val="ListLabel 23"/>
    <w:qFormat/>
    <w:rPr>
      <w:rFonts w:eastAsia="Times New Roman"/>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rPr>
  </w:style>
  <w:style w:type="character" w:styleId="ListLabel27">
    <w:name w:val="ListLabel 27"/>
    <w:qFormat/>
    <w:rPr>
      <w:rFonts w:cs="Courier New"/>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eastAsia="Times New Roman"/>
      <w:sz w:val="24"/>
      <w:szCs w:val="24"/>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paragraph" w:styleId="Style14" w:customStyle="1">
    <w:name w:val="Заголовок"/>
    <w:basedOn w:val="Normal"/>
    <w:next w:val="Style15"/>
    <w:uiPriority w:val="99"/>
    <w:qFormat/>
    <w:rsid w:val="00794da3"/>
    <w:pPr>
      <w:keepNext/>
      <w:spacing w:before="240" w:after="120"/>
    </w:pPr>
    <w:rPr>
      <w:rFonts w:ascii="Liberation Sans" w:hAnsi="Liberation Sans" w:eastAsia="Microsoft YaHei" w:cs="Liberation Sans"/>
      <w:sz w:val="28"/>
      <w:szCs w:val="28"/>
    </w:rPr>
  </w:style>
  <w:style w:type="paragraph" w:styleId="Style15">
    <w:name w:val="Body Text"/>
    <w:basedOn w:val="Normal"/>
    <w:link w:val="BodyTextChar"/>
    <w:uiPriority w:val="99"/>
    <w:rsid w:val="00794da3"/>
    <w:pPr>
      <w:spacing w:lineRule="auto" w:line="288" w:before="0" w:after="140"/>
    </w:pPr>
    <w:rPr/>
  </w:style>
  <w:style w:type="paragraph" w:styleId="Style16">
    <w:name w:val="List"/>
    <w:basedOn w:val="Style15"/>
    <w:uiPriority w:val="99"/>
    <w:rsid w:val="00794da3"/>
    <w:pPr/>
    <w:rPr/>
  </w:style>
  <w:style w:type="paragraph" w:styleId="Style17">
    <w:name w:val="Caption"/>
    <w:basedOn w:val="Normal"/>
    <w:qFormat/>
    <w:pPr>
      <w:suppressLineNumbers/>
      <w:spacing w:before="120" w:after="120"/>
    </w:pPr>
    <w:rPr>
      <w:rFonts w:cs="Lucida Sans"/>
      <w:i/>
      <w:iCs/>
      <w:sz w:val="24"/>
      <w:szCs w:val="24"/>
    </w:rPr>
  </w:style>
  <w:style w:type="paragraph" w:styleId="Style18" w:customStyle="1">
    <w:name w:val="Покажчик"/>
    <w:basedOn w:val="Normal"/>
    <w:uiPriority w:val="99"/>
    <w:qFormat/>
    <w:rsid w:val="00794da3"/>
    <w:pPr>
      <w:suppressLineNumbers/>
    </w:pPr>
    <w:rPr/>
  </w:style>
  <w:style w:type="paragraph" w:styleId="Caption">
    <w:name w:val="caption"/>
    <w:next w:val="Style15"/>
    <w:uiPriority w:val="99"/>
    <w:qFormat/>
    <w:rsid w:val="00794da3"/>
    <w:pPr>
      <w:widowControl w:val="false"/>
      <w:jc w:val="center"/>
    </w:pPr>
    <w:rPr>
      <w:rFonts w:ascii="Times New Roman" w:hAnsi="Times New Roman" w:eastAsia="Times New Roman" w:cs="Times New Roman"/>
      <w:b/>
      <w:bCs/>
      <w:color w:val="auto"/>
      <w:sz w:val="56"/>
      <w:szCs w:val="56"/>
      <w:lang w:val="uk-UA" w:eastAsia="uk-UA" w:bidi="ar-SA"/>
    </w:rPr>
  </w:style>
  <w:style w:type="paragraph" w:styleId="13" w:customStyle="1">
    <w:name w:val="Заголовок1"/>
    <w:basedOn w:val="Normal"/>
    <w:next w:val="Style15"/>
    <w:uiPriority w:val="99"/>
    <w:qFormat/>
    <w:rsid w:val="00794da3"/>
    <w:pPr>
      <w:keepNext/>
      <w:spacing w:before="240" w:after="120"/>
    </w:pPr>
    <w:rPr>
      <w:rFonts w:ascii="Liberation Sans" w:hAnsi="Liberation Sans" w:eastAsia="Microsoft YaHei" w:cs="Liberation Sans"/>
      <w:sz w:val="28"/>
      <w:szCs w:val="28"/>
    </w:rPr>
  </w:style>
  <w:style w:type="paragraph" w:styleId="BodyTextIndent2Char" w:customStyle="1">
    <w:name w:val="Body Text Indent 2 Char"/>
    <w:basedOn w:val="Normal"/>
    <w:uiPriority w:val="99"/>
    <w:qFormat/>
    <w:rsid w:val="00794da3"/>
    <w:pPr>
      <w:suppressLineNumbers/>
    </w:pPr>
    <w:rPr/>
  </w:style>
  <w:style w:type="paragraph" w:styleId="14" w:customStyle="1">
    <w:name w:val="Название объекта1"/>
    <w:basedOn w:val="Normal"/>
    <w:uiPriority w:val="99"/>
    <w:qFormat/>
    <w:rsid w:val="00794da3"/>
    <w:pPr>
      <w:suppressLineNumbers/>
      <w:spacing w:before="120" w:after="120"/>
    </w:pPr>
    <w:rPr>
      <w:i/>
      <w:iCs/>
      <w:sz w:val="24"/>
      <w:szCs w:val="24"/>
    </w:rPr>
  </w:style>
  <w:style w:type="paragraph" w:styleId="15" w:customStyle="1">
    <w:name w:val="Указатель1"/>
    <w:basedOn w:val="Normal"/>
    <w:uiPriority w:val="99"/>
    <w:qFormat/>
    <w:rsid w:val="00794da3"/>
    <w:pPr>
      <w:suppressLineNumbers/>
    </w:pPr>
    <w:rPr/>
  </w:style>
  <w:style w:type="paragraph" w:styleId="Style19" w:customStyle="1">
    <w:name w:val="Блочная цитата"/>
    <w:basedOn w:val="Normal"/>
    <w:uiPriority w:val="99"/>
    <w:qFormat/>
    <w:rsid w:val="00794da3"/>
    <w:pPr>
      <w:spacing w:before="0" w:after="283"/>
      <w:ind w:left="567" w:right="567" w:hanging="0"/>
    </w:pPr>
    <w:rPr/>
  </w:style>
  <w:style w:type="paragraph" w:styleId="Style20">
    <w:name w:val="Subtitle"/>
    <w:basedOn w:val="13"/>
    <w:next w:val="Style15"/>
    <w:link w:val="SubtitleChar"/>
    <w:uiPriority w:val="99"/>
    <w:qFormat/>
    <w:rsid w:val="00794da3"/>
    <w:pPr>
      <w:spacing w:before="60" w:after="120"/>
      <w:jc w:val="center"/>
    </w:pPr>
    <w:rPr>
      <w:rFonts w:ascii="Cambria" w:hAnsi="Cambria" w:eastAsia="Times New Roman" w:cs="Cambria"/>
      <w:sz w:val="24"/>
      <w:szCs w:val="24"/>
    </w:rPr>
  </w:style>
  <w:style w:type="paragraph" w:styleId="Style21">
    <w:name w:val="Title"/>
    <w:basedOn w:val="13"/>
    <w:next w:val="Style15"/>
    <w:link w:val="TitleChar"/>
    <w:uiPriority w:val="99"/>
    <w:qFormat/>
    <w:rsid w:val="00794da3"/>
    <w:pPr>
      <w:jc w:val="center"/>
    </w:pPr>
    <w:rPr>
      <w:rFonts w:ascii="Cambria" w:hAnsi="Cambria" w:eastAsia="Times New Roman" w:cs="Cambria"/>
      <w:b/>
      <w:bCs/>
      <w:sz w:val="32"/>
      <w:szCs w:val="32"/>
    </w:rPr>
  </w:style>
  <w:style w:type="paragraph" w:styleId="Style22" w:customStyle="1">
    <w:name w:val="Знак"/>
    <w:basedOn w:val="Normal"/>
    <w:uiPriority w:val="99"/>
    <w:qFormat/>
    <w:rsid w:val="00794da3"/>
    <w:pPr>
      <w:suppressAutoHyphens w:val="false"/>
    </w:pPr>
    <w:rPr>
      <w:rFonts w:ascii="Verdana" w:hAnsi="Verdana" w:cs="Verdana"/>
      <w:lang w:eastAsia="en-US"/>
    </w:rPr>
  </w:style>
  <w:style w:type="paragraph" w:styleId="Western" w:customStyle="1">
    <w:name w:val="western"/>
    <w:basedOn w:val="Normal"/>
    <w:uiPriority w:val="99"/>
    <w:qFormat/>
    <w:rsid w:val="00794da3"/>
    <w:pPr>
      <w:suppressAutoHyphens w:val="false"/>
      <w:spacing w:lineRule="auto" w:line="276" w:before="280" w:after="142"/>
    </w:pPr>
    <w:rPr>
      <w:color w:val="000000"/>
      <w:lang w:val="uk-UA"/>
    </w:rPr>
  </w:style>
  <w:style w:type="paragraph" w:styleId="Style23">
    <w:name w:val="Header"/>
    <w:basedOn w:val="Normal"/>
    <w:link w:val="HeaderChar"/>
    <w:uiPriority w:val="99"/>
    <w:rsid w:val="00794da3"/>
    <w:pPr>
      <w:tabs>
        <w:tab w:val="center" w:pos="4677" w:leader="none"/>
        <w:tab w:val="right" w:pos="9355" w:leader="none"/>
      </w:tabs>
    </w:pPr>
    <w:rPr/>
  </w:style>
  <w:style w:type="paragraph" w:styleId="BalloonText">
    <w:name w:val="Balloon Text"/>
    <w:basedOn w:val="Normal"/>
    <w:link w:val="BalloonTextChar"/>
    <w:uiPriority w:val="99"/>
    <w:semiHidden/>
    <w:qFormat/>
    <w:rsid w:val="00794da3"/>
    <w:pPr/>
    <w:rPr>
      <w:sz w:val="2"/>
      <w:szCs w:val="2"/>
    </w:rPr>
  </w:style>
  <w:style w:type="paragraph" w:styleId="NormalWeb">
    <w:name w:val="Normal (Web)"/>
    <w:basedOn w:val="Normal"/>
    <w:uiPriority w:val="99"/>
    <w:qFormat/>
    <w:rsid w:val="00794da3"/>
    <w:pPr>
      <w:suppressAutoHyphens w:val="false"/>
      <w:spacing w:beforeAutospacing="1" w:afterAutospacing="1"/>
    </w:pPr>
    <w:rPr>
      <w:sz w:val="24"/>
      <w:szCs w:val="24"/>
      <w:lang w:val="uk-UA" w:eastAsia="uk-UA"/>
    </w:rPr>
  </w:style>
  <w:style w:type="paragraph" w:styleId="Style24">
    <w:name w:val="Footer"/>
    <w:basedOn w:val="Normal"/>
    <w:link w:val="FooterChar"/>
    <w:uiPriority w:val="99"/>
    <w:rsid w:val="00794da3"/>
    <w:pPr>
      <w:tabs>
        <w:tab w:val="center" w:pos="4819" w:leader="none"/>
        <w:tab w:val="right" w:pos="9639" w:leader="none"/>
      </w:tabs>
    </w:pPr>
    <w:rPr/>
  </w:style>
  <w:style w:type="paragraph" w:styleId="BodyTextIndent2">
    <w:name w:val="Body Text Indent 2"/>
    <w:basedOn w:val="Normal"/>
    <w:link w:val="BodyTextIndent2Char1"/>
    <w:uiPriority w:val="99"/>
    <w:qFormat/>
    <w:rsid w:val="00794da3"/>
    <w:pPr>
      <w:spacing w:lineRule="auto" w:line="480" w:before="0" w:after="120"/>
      <w:ind w:left="283" w:hanging="0"/>
    </w:pPr>
    <w:rPr/>
  </w:style>
  <w:style w:type="paragraph" w:styleId="Style25" w:customStyle="1">
    <w:name w:val="Знак Знак Знак"/>
    <w:basedOn w:val="Normal"/>
    <w:uiPriority w:val="99"/>
    <w:qFormat/>
    <w:rsid w:val="00794da3"/>
    <w:pPr>
      <w:suppressAutoHyphens w:val="false"/>
    </w:pPr>
    <w:rPr>
      <w:rFonts w:ascii="Verdana" w:hAnsi="Verdana" w:cs="Verdana"/>
      <w:lang w:eastAsia="en-US"/>
    </w:rPr>
  </w:style>
  <w:style w:type="paragraph" w:styleId="BodyText3">
    <w:name w:val="Body Text 3"/>
    <w:basedOn w:val="Normal"/>
    <w:link w:val="BodyText3Char1"/>
    <w:uiPriority w:val="99"/>
    <w:qFormat/>
    <w:rsid w:val="00794da3"/>
    <w:pPr>
      <w:spacing w:before="0" w:after="120"/>
    </w:pPr>
    <w:rPr>
      <w:sz w:val="14"/>
      <w:szCs w:val="14"/>
    </w:rPr>
  </w:style>
  <w:style w:type="paragraph" w:styleId="16" w:customStyle="1">
    <w:name w:val="Обычный1"/>
    <w:uiPriority w:val="99"/>
    <w:qFormat/>
    <w:rsid w:val="00794da3"/>
    <w:pPr>
      <w:widowControl/>
      <w:bidi w:val="0"/>
      <w:jc w:val="center"/>
    </w:pPr>
    <w:rPr>
      <w:rFonts w:ascii="Times New Roman" w:hAnsi="Times New Roman" w:eastAsia="Times New Roman" w:cs="Times New Roman"/>
      <w:b/>
      <w:bCs/>
      <w:color w:val="000000"/>
      <w:sz w:val="32"/>
      <w:szCs w:val="32"/>
      <w:lang w:eastAsia="ru-RU" w:val="uk-UA" w:bidi="ar-SA"/>
    </w:rPr>
  </w:style>
  <w:style w:type="paragraph" w:styleId="CharCharCharChar" w:customStyle="1">
    <w:name w:val="Char Знак Знак Char Знак Знак Char Знак Знак Char Знак Знак Знак"/>
    <w:basedOn w:val="Normal"/>
    <w:uiPriority w:val="99"/>
    <w:qFormat/>
    <w:rsid w:val="00794da3"/>
    <w:pPr>
      <w:suppressAutoHyphens w:val="false"/>
    </w:pPr>
    <w:rPr>
      <w:rFonts w:ascii="Verdana" w:hAnsi="Verdana" w:cs="Verdana"/>
      <w:lang w:eastAsia="en-US"/>
    </w:rPr>
  </w:style>
  <w:style w:type="paragraph" w:styleId="BodyText2">
    <w:name w:val="Body Text 2"/>
    <w:basedOn w:val="Normal"/>
    <w:link w:val="BodyText2Char"/>
    <w:uiPriority w:val="99"/>
    <w:qFormat/>
    <w:rsid w:val="00794da3"/>
    <w:pPr>
      <w:suppressAutoHyphens w:val="false"/>
      <w:spacing w:lineRule="auto" w:line="480" w:before="0" w:after="120"/>
    </w:pPr>
    <w:rPr/>
  </w:style>
  <w:style w:type="paragraph" w:styleId="Style26" w:customStyle="1">
    <w:name w:val="Знак Знак Знак Знак Знак Знак Знак"/>
    <w:basedOn w:val="Normal"/>
    <w:uiPriority w:val="99"/>
    <w:qFormat/>
    <w:rsid w:val="00794da3"/>
    <w:pPr>
      <w:suppressAutoHyphens w:val="false"/>
    </w:pPr>
    <w:rPr>
      <w:rFonts w:ascii="Verdana" w:hAnsi="Verdana" w:cs="Verdana"/>
      <w:lang w:eastAsia="en-US"/>
    </w:rPr>
  </w:style>
  <w:style w:type="paragraph" w:styleId="FR2" w:customStyle="1">
    <w:name w:val="FR2"/>
    <w:uiPriority w:val="99"/>
    <w:qFormat/>
    <w:rsid w:val="00794da3"/>
    <w:pPr>
      <w:widowControl w:val="false"/>
      <w:bidi w:val="0"/>
      <w:ind w:left="200" w:hanging="0"/>
      <w:jc w:val="center"/>
    </w:pPr>
    <w:rPr>
      <w:rFonts w:ascii="Times New Roman" w:hAnsi="Times New Roman" w:eastAsia="Times New Roman" w:cs="Times New Roman"/>
      <w:color w:val="auto"/>
      <w:sz w:val="56"/>
      <w:szCs w:val="56"/>
      <w:lang w:eastAsia="ru-RU" w:val="uk-UA"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99"/>
    <w:rsid w:val="00794da3"/>
    <w:rPr>
      <w:sz w:val="20"/>
      <w:szCs w:val="20"/>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Application>LibreOffice/5.1.6.2$Windows_X86_64 LibreOffice_project/07ac168c60a517dba0f0d7bc7540f5afa45f0909</Application>
  <Pages>11</Pages>
  <Words>2628</Words>
  <Characters>19223</Characters>
  <CharactersWithSpaces>21839</CharactersWithSpaces>
  <Paragraphs>332</Paragraphs>
  <Company>NhT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2023-11-28T12:39:00Z</dcterms:created>
  <dc:creator>Работа</dc:creator>
  <dc:description/>
  <dc:language>uk-UA</dc:language>
  <cp:lastModifiedBy/>
  <cp:lastPrinted>2023-11-28T09:02:00Z</cp:lastPrinted>
  <dcterms:modified xsi:type="dcterms:W3CDTF">2023-11-29T10:22:09Z</dcterms:modified>
  <cp:revision>3</cp:revision>
  <dc:subject/>
  <dc:title>ЗАТВЕРДЖЕНО</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NhT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