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 xml:space="preserve">Додаток 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до розпорядження начальника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Слов’янської міської військової адміністрації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ab/>
        <w:tab/>
        <w:tab/>
        <w:tab/>
        <w:tab/>
        <w:tab/>
        <w:tab/>
        <w:tab/>
        <w:tab/>
        <w:tab/>
        <w:tab/>
        <w:tab/>
        <w:t>06.11.2023</w:t>
        <w:tab/>
        <w:t>№ 2060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Зміни до </w:t>
      </w:r>
      <w:bookmarkStart w:id="0" w:name="BM255"/>
      <w:bookmarkStart w:id="1" w:name="BM254"/>
      <w:bookmarkEnd w:id="0"/>
      <w:bookmarkEnd w:id="1"/>
      <w:r>
        <w:rPr>
          <w:sz w:val="24"/>
          <w:szCs w:val="24"/>
          <w:lang w:val="uk-UA"/>
        </w:rPr>
        <w:t>розділів Програми  із запобігання та ліквідації надзвичайних ситуацій, наслідків стихійного лиха та воєнних дій на території Слов’янської міської територіальної громади на 2022 – 2023 роки</w:t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 w:eastAsia="uk-UA"/>
        </w:rPr>
      </w:pPr>
      <w:r>
        <w:rPr>
          <w:sz w:val="24"/>
          <w:szCs w:val="24"/>
          <w:lang w:val="uk-UA" w:eastAsia="uk-UA"/>
        </w:rPr>
        <w:t>1.  Паспорт Програми</w:t>
      </w:r>
    </w:p>
    <w:p>
      <w:pPr>
        <w:pStyle w:val="Normal"/>
        <w:rPr>
          <w:lang w:val="uk-UA" w:eastAsia="uk-UA"/>
        </w:rPr>
      </w:pPr>
      <w:r>
        <w:rPr>
          <w:lang w:val="uk-UA" w:eastAsia="uk-UA"/>
        </w:rPr>
      </w:r>
    </w:p>
    <w:tbl>
      <w:tblPr>
        <w:tblW w:w="10314" w:type="dxa"/>
        <w:jc w:val="left"/>
        <w:tblInd w:w="0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8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550"/>
        <w:gridCol w:w="2774"/>
        <w:gridCol w:w="1202"/>
        <w:gridCol w:w="1109"/>
        <w:gridCol w:w="1275"/>
        <w:gridCol w:w="1155"/>
        <w:gridCol w:w="1255"/>
        <w:gridCol w:w="992"/>
      </w:tblGrid>
      <w:tr>
        <w:trPr>
          <w:trHeight w:val="269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1. У Паспорт Програми, такі зміни:</w:t>
            </w:r>
          </w:p>
        </w:tc>
      </w:tr>
      <w:tr>
        <w:trPr>
          <w:trHeight w:val="269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1) пункт 8.1 викласти в такій редакції:</w:t>
            </w:r>
          </w:p>
        </w:tc>
      </w:tr>
      <w:tr>
        <w:trPr>
          <w:trHeight w:val="387" w:hRule="atLeast"/>
        </w:trPr>
        <w:tc>
          <w:tcPr>
            <w:tcW w:w="550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</w:t>
            </w:r>
          </w:p>
        </w:tc>
        <w:tc>
          <w:tcPr>
            <w:tcW w:w="277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Обсяг фінансових ресурсів, необхідних для реалізації Програми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у тому числі за роками:</w:t>
            </w:r>
          </w:p>
        </w:tc>
        <w:tc>
          <w:tcPr>
            <w:tcW w:w="1202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Всього</w:t>
            </w:r>
          </w:p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тис.грн</w:t>
            </w:r>
          </w:p>
        </w:tc>
        <w:tc>
          <w:tcPr>
            <w:tcW w:w="5786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 тому числі за джерелами</w:t>
            </w:r>
          </w:p>
        </w:tc>
      </w:tr>
      <w:tr>
        <w:trPr>
          <w:trHeight w:val="561" w:hRule="atLeast"/>
        </w:trPr>
        <w:tc>
          <w:tcPr>
            <w:tcW w:w="550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277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</w:r>
          </w:p>
        </w:tc>
        <w:tc>
          <w:tcPr>
            <w:tcW w:w="1202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державний бюджет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suppressAutoHyphens w:val="false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обласний бюджет</w:t>
            </w:r>
          </w:p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</w:r>
          </w:p>
        </w:tc>
        <w:tc>
          <w:tcPr>
            <w:tcW w:w="1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бюджет територіальної громади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кошти підприємств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інші кошти</w:t>
            </w:r>
          </w:p>
        </w:tc>
      </w:tr>
      <w:tr>
        <w:trPr>
          <w:trHeight w:val="243" w:hRule="atLeast"/>
        </w:trPr>
        <w:tc>
          <w:tcPr>
            <w:tcW w:w="5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8.1</w:t>
            </w:r>
          </w:p>
        </w:tc>
        <w:tc>
          <w:tcPr>
            <w:tcW w:w="27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2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253793,408</w:t>
            </w:r>
          </w:p>
        </w:tc>
        <w:tc>
          <w:tcPr>
            <w:tcW w:w="11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21 595,092</w:t>
            </w:r>
          </w:p>
        </w:tc>
        <w:tc>
          <w:tcPr>
            <w:tcW w:w="12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20 000,000</w:t>
            </w:r>
          </w:p>
        </w:tc>
        <w:tc>
          <w:tcPr>
            <w:tcW w:w="11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210 787,591</w:t>
            </w:r>
          </w:p>
        </w:tc>
        <w:tc>
          <w:tcPr>
            <w:tcW w:w="12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1 410,725</w:t>
            </w:r>
          </w:p>
        </w:tc>
      </w:tr>
      <w:tr>
        <w:trPr>
          <w:trHeight w:val="243" w:hRule="atLeast"/>
        </w:trPr>
        <w:tc>
          <w:tcPr>
            <w:tcW w:w="10312" w:type="dxa"/>
            <w:gridSpan w:val="8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8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 xml:space="preserve">2)  </w:t>
            </w:r>
            <w:r>
              <w:rPr>
                <w:sz w:val="24"/>
                <w:szCs w:val="24"/>
                <w:lang w:val="uk-UA"/>
              </w:rPr>
              <w:t>у пункті 9 замінити речення: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 xml:space="preserve">-  </w:t>
            </w:r>
            <w:r>
              <w:rPr>
                <w:lang w:val="uk-UA"/>
              </w:rPr>
              <w:t>Капітально відремонтовано покрівлі 67 житлових будинки, будівлю контори, покрівлю закладу охорони здоров’я; покрівлю та вікна закладів освіти;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</w:r>
          </w:p>
          <w:p>
            <w:pPr>
              <w:pStyle w:val="Normal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На:</w:t>
            </w:r>
          </w:p>
          <w:p>
            <w:pPr>
              <w:pStyle w:val="Normal"/>
              <w:jc w:val="both"/>
              <w:rPr>
                <w:sz w:val="24"/>
                <w:szCs w:val="24"/>
                <w:lang w:val="uk-UA"/>
              </w:rPr>
            </w:pPr>
            <w:r>
              <w:rPr>
                <w:lang w:val="uk-UA"/>
              </w:rPr>
              <w:t>- Капітально відремонтовано покрівлі 67 житлових будинків, вікна в 13 будинках, будівлю контори, покрівлю закладу охорони здоров’я; покрівлю та вікна закладів освіти.</w:t>
            </w:r>
          </w:p>
          <w:p>
            <w:pPr>
              <w:pStyle w:val="Normal"/>
              <w:jc w:val="both"/>
              <w:rPr>
                <w:b/>
                <w:b/>
                <w:bCs/>
                <w:sz w:val="16"/>
                <w:szCs w:val="16"/>
                <w:lang w:val="uk-UA"/>
              </w:rPr>
            </w:pPr>
            <w:r>
              <w:rPr>
                <w:b/>
                <w:bCs/>
                <w:sz w:val="16"/>
                <w:szCs w:val="16"/>
                <w:lang w:val="uk-UA"/>
              </w:rPr>
            </w:r>
          </w:p>
        </w:tc>
      </w:tr>
    </w:tbl>
    <w:p>
      <w:pPr>
        <w:pStyle w:val="Normal"/>
        <w:rPr>
          <w:color w:val="FF0000"/>
          <w:sz w:val="24"/>
          <w:szCs w:val="24"/>
          <w:lang w:val="uk-UA"/>
        </w:rPr>
      </w:pPr>
      <w:r>
        <w:rPr>
          <w:color w:val="FF0000"/>
          <w:sz w:val="24"/>
          <w:szCs w:val="24"/>
          <w:lang w:val="uk-UA"/>
        </w:rPr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Перелік завдань і заходів </w:t>
      </w:r>
    </w:p>
    <w:p>
      <w:pPr>
        <w:pStyle w:val="Normal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tbl>
      <w:tblPr>
        <w:tblW w:w="16033" w:type="dxa"/>
        <w:jc w:val="left"/>
        <w:tblInd w:w="9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103" w:type="dxa"/>
          <w:bottom w:w="0" w:type="dxa"/>
          <w:right w:w="108" w:type="dxa"/>
        </w:tblCellMar>
        <w:tblLook w:firstRow="1" w:noVBand="0" w:lastRow="0" w:firstColumn="1" w:lastColumn="0" w:noHBand="0" w:val="00a0"/>
      </w:tblPr>
      <w:tblGrid>
        <w:gridCol w:w="1856"/>
        <w:gridCol w:w="568"/>
        <w:gridCol w:w="2834"/>
        <w:gridCol w:w="993"/>
        <w:gridCol w:w="141"/>
        <w:gridCol w:w="1568"/>
        <w:gridCol w:w="1"/>
        <w:gridCol w:w="1132"/>
        <w:gridCol w:w="2"/>
        <w:gridCol w:w="1124"/>
        <w:gridCol w:w="2"/>
        <w:gridCol w:w="994"/>
        <w:gridCol w:w="1"/>
        <w:gridCol w:w="1132"/>
        <w:gridCol w:w="2"/>
        <w:gridCol w:w="567"/>
        <w:gridCol w:w="140"/>
        <w:gridCol w:w="851"/>
        <w:gridCol w:w="2"/>
        <w:gridCol w:w="139"/>
        <w:gridCol w:w="994"/>
        <w:gridCol w:w="140"/>
        <w:gridCol w:w="849"/>
      </w:tblGrid>
      <w:tr>
        <w:trPr>
          <w:trHeight w:val="30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№ </w:t>
            </w:r>
            <w:r>
              <w:rPr>
                <w:sz w:val="16"/>
                <w:szCs w:val="16"/>
                <w:lang w:val="uk-UA" w:eastAsia="uk-UA"/>
              </w:rPr>
              <w:t>і назва завдання Стратегії розвитку Донецької області на період до 2027 року/Стратегії громади (за наявності)</w:t>
            </w:r>
          </w:p>
        </w:tc>
        <w:tc>
          <w:tcPr>
            <w:tcW w:w="568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№</w:t>
            </w:r>
            <w:r>
              <w:rPr>
                <w:sz w:val="16"/>
                <w:szCs w:val="16"/>
                <w:lang w:val="uk-UA" w:eastAsia="uk-UA"/>
              </w:rPr>
              <w:br/>
              <w:t>з/п</w:t>
            </w:r>
          </w:p>
        </w:tc>
        <w:tc>
          <w:tcPr>
            <w:tcW w:w="2834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Зміст заходу</w:t>
            </w:r>
          </w:p>
        </w:tc>
        <w:tc>
          <w:tcPr>
            <w:tcW w:w="993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Термін</w:t>
              <w:br/>
              <w:t>виконання</w:t>
              <w:br/>
            </w:r>
          </w:p>
        </w:tc>
        <w:tc>
          <w:tcPr>
            <w:tcW w:w="1710" w:type="dxa"/>
            <w:gridSpan w:val="3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Виконавець</w:t>
            </w:r>
          </w:p>
        </w:tc>
        <w:tc>
          <w:tcPr>
            <w:tcW w:w="5947" w:type="dxa"/>
            <w:gridSpan w:val="11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Витрати на реалізацію, тис.грн</w:t>
            </w:r>
          </w:p>
        </w:tc>
        <w:tc>
          <w:tcPr>
            <w:tcW w:w="2124" w:type="dxa"/>
            <w:gridSpan w:val="5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Очікуваний </w:t>
              <w:br/>
              <w:t>результат</w:t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Всього</w:t>
            </w:r>
          </w:p>
        </w:tc>
        <w:tc>
          <w:tcPr>
            <w:tcW w:w="4813" w:type="dxa"/>
            <w:gridSpan w:val="9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у тому числі за рахунок коштів:</w:t>
            </w:r>
          </w:p>
        </w:tc>
        <w:tc>
          <w:tcPr>
            <w:tcW w:w="2124" w:type="dxa"/>
            <w:gridSpan w:val="5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Держав-</w:t>
              <w:br/>
              <w:t>ного</w:t>
              <w:br/>
              <w:t>бюджету</w:t>
            </w:r>
          </w:p>
        </w:tc>
        <w:tc>
          <w:tcPr>
            <w:tcW w:w="2129" w:type="dxa"/>
            <w:gridSpan w:val="4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місцевих бюджетів</w:t>
            </w:r>
          </w:p>
        </w:tc>
        <w:tc>
          <w:tcPr>
            <w:tcW w:w="567" w:type="dxa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підпри-</w:t>
              <w:br/>
              <w:t>ємств</w:t>
            </w:r>
          </w:p>
        </w:tc>
        <w:tc>
          <w:tcPr>
            <w:tcW w:w="993" w:type="dxa"/>
            <w:gridSpan w:val="3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 xml:space="preserve">інших </w:t>
              <w:br/>
              <w:t>джерел</w:t>
            </w:r>
          </w:p>
        </w:tc>
        <w:tc>
          <w:tcPr>
            <w:tcW w:w="1133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найменування показника</w:t>
            </w:r>
          </w:p>
        </w:tc>
        <w:tc>
          <w:tcPr>
            <w:tcW w:w="989" w:type="dxa"/>
            <w:gridSpan w:val="2"/>
            <w:vMerge w:val="restart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значення показника</w:t>
            </w:r>
          </w:p>
        </w:tc>
      </w:tr>
      <w:tr>
        <w:trPr>
          <w:trHeight w:val="682" w:hRule="atLeast"/>
        </w:trPr>
        <w:tc>
          <w:tcPr>
            <w:tcW w:w="1856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568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2834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710" w:type="dxa"/>
            <w:gridSpan w:val="3"/>
            <w:vMerge w:val="continue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4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26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обласного</w:t>
              <w:br/>
              <w:t>бюджету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vAlign w:val="cente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бюджету територіальної громади</w:t>
            </w:r>
          </w:p>
        </w:tc>
        <w:tc>
          <w:tcPr>
            <w:tcW w:w="567" w:type="dxa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93" w:type="dxa"/>
            <w:gridSpan w:val="3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1133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  <w:tc>
          <w:tcPr>
            <w:tcW w:w="989" w:type="dxa"/>
            <w:gridSpan w:val="2"/>
            <w:vMerge w:val="continue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  <w:vAlign w:val="center"/>
          </w:tcPr>
          <w:p>
            <w:pPr>
              <w:pStyle w:val="Normal"/>
              <w:suppressAutoHyphens w:val="false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</w:r>
          </w:p>
        </w:tc>
      </w:tr>
      <w:tr>
        <w:trPr>
          <w:trHeight w:val="300" w:hRule="atLeast"/>
        </w:trPr>
        <w:tc>
          <w:tcPr>
            <w:tcW w:w="185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</w:t>
            </w:r>
          </w:p>
        </w:tc>
        <w:tc>
          <w:tcPr>
            <w:tcW w:w="568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2</w:t>
            </w:r>
          </w:p>
        </w:tc>
        <w:tc>
          <w:tcPr>
            <w:tcW w:w="2834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3</w:t>
            </w:r>
          </w:p>
        </w:tc>
        <w:tc>
          <w:tcPr>
            <w:tcW w:w="993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4</w:t>
            </w:r>
          </w:p>
        </w:tc>
        <w:tc>
          <w:tcPr>
            <w:tcW w:w="1710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5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6</w:t>
            </w:r>
          </w:p>
        </w:tc>
        <w:tc>
          <w:tcPr>
            <w:tcW w:w="1126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7</w:t>
            </w:r>
          </w:p>
        </w:tc>
        <w:tc>
          <w:tcPr>
            <w:tcW w:w="995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8</w:t>
            </w:r>
          </w:p>
        </w:tc>
        <w:tc>
          <w:tcPr>
            <w:tcW w:w="1134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9</w:t>
            </w:r>
          </w:p>
        </w:tc>
        <w:tc>
          <w:tcPr>
            <w:tcW w:w="567" w:type="dxa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10</w:t>
            </w:r>
          </w:p>
        </w:tc>
        <w:tc>
          <w:tcPr>
            <w:tcW w:w="993" w:type="dxa"/>
            <w:gridSpan w:val="3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11</w:t>
            </w:r>
          </w:p>
        </w:tc>
        <w:tc>
          <w:tcPr>
            <w:tcW w:w="1133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12</w:t>
            </w:r>
          </w:p>
        </w:tc>
        <w:tc>
          <w:tcPr>
            <w:tcW w:w="989" w:type="dxa"/>
            <w:gridSpan w:val="2"/>
            <w:tcBorders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sz w:val="16"/>
                <w:szCs w:val="16"/>
                <w:lang w:val="uk-UA" w:eastAsia="uk-UA"/>
              </w:rPr>
            </w:pPr>
            <w:r>
              <w:rPr>
                <w:sz w:val="16"/>
                <w:szCs w:val="16"/>
                <w:lang w:val="uk-UA" w:eastAsia="uk-UA"/>
              </w:rPr>
              <w:t>13</w:t>
            </w:r>
          </w:p>
        </w:tc>
      </w:tr>
      <w:tr>
        <w:trPr>
          <w:trHeight w:val="300" w:hRule="atLeast"/>
        </w:trPr>
        <w:tc>
          <w:tcPr>
            <w:tcW w:w="16032" w:type="dxa"/>
            <w:gridSpan w:val="23"/>
            <w:tcBorders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 w:eastAsia="uk-UA"/>
              </w:rPr>
            </w:pPr>
            <w:r>
              <w:rPr>
                <w:sz w:val="24"/>
                <w:szCs w:val="24"/>
                <w:lang w:val="uk-UA" w:eastAsia="uk-UA"/>
              </w:rPr>
              <w:t>1. У розділ «</w:t>
            </w:r>
            <w:r>
              <w:rPr>
                <w:sz w:val="24"/>
                <w:szCs w:val="24"/>
                <w:lang w:val="uk-UA"/>
              </w:rPr>
              <w:t>4. Перелік завдань і заходів Програми» додатку 1</w:t>
            </w:r>
            <w:r>
              <w:rPr>
                <w:sz w:val="24"/>
                <w:szCs w:val="24"/>
                <w:lang w:val="uk-UA" w:eastAsia="uk-UA"/>
              </w:rPr>
              <w:t>, такі зміни:</w:t>
            </w:r>
          </w:p>
        </w:tc>
      </w:tr>
      <w:tr>
        <w:trPr>
          <w:trHeight w:val="693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sz w:val="24"/>
                <w:szCs w:val="24"/>
                <w:lang w:val="ru-RU"/>
              </w:rPr>
              <w:t xml:space="preserve">1)  </w:t>
            </w:r>
            <w:r>
              <w:rPr>
                <w:sz w:val="24"/>
                <w:szCs w:val="24"/>
                <w:lang w:val="uk-UA"/>
              </w:rPr>
              <w:t>заходи 69, 143</w:t>
            </w:r>
            <w:r>
              <w:rPr>
                <w:color w:val="FF0000"/>
                <w:sz w:val="24"/>
                <w:szCs w:val="24"/>
                <w:lang w:val="uk-UA"/>
              </w:rPr>
              <w:t xml:space="preserve">  </w:t>
            </w:r>
            <w:r>
              <w:rPr>
                <w:sz w:val="24"/>
                <w:szCs w:val="24"/>
                <w:lang w:val="uk-UA" w:eastAsia="uk-UA"/>
              </w:rPr>
              <w:t>завдання: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sz w:val="24"/>
                <w:szCs w:val="24"/>
                <w:lang w:val="uk-UA"/>
              </w:rPr>
              <w:t xml:space="preserve">» викласти </w:t>
            </w:r>
            <w:r>
              <w:rPr>
                <w:sz w:val="24"/>
                <w:szCs w:val="24"/>
                <w:lang w:val="uk-UA" w:eastAsia="uk-UA"/>
              </w:rPr>
              <w:t>в такій редакції: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lang w:val="uk-UA"/>
              </w:rPr>
              <w:t>3.1.1 Підвищення спроможності регіону попереджувати, реагувати та ліквідувати наслідки надзвичайних ситуацій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69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/>
            </w:pPr>
            <w:r>
              <w:rPr>
                <w:lang w:val="uk-UA"/>
              </w:rPr>
              <w:t xml:space="preserve">Розробка проєктно-кошторисної документації по об'єкту: </w:t>
            </w:r>
            <w:r>
              <w:rPr>
                <w:color w:val="000000"/>
                <w:shd w:fill="FFFFFF" w:val="clear"/>
                <w:lang w:val="uk-UA"/>
              </w:rPr>
              <w:t>«</w:t>
            </w:r>
            <w:r>
              <w:rPr>
                <w:color w:val="0F0F0F"/>
                <w:shd w:fill="FFFFFF" w:val="clear"/>
                <w:lang w:val="uk-UA"/>
              </w:rPr>
              <w:t>Ремонтно-реставраційні роботи</w:t>
            </w:r>
            <w:r>
              <w:rPr>
                <w:color w:val="000000"/>
                <w:shd w:fill="FFFFFF" w:val="clear"/>
              </w:rPr>
              <w:t> </w:t>
            </w:r>
            <w:r>
              <w:rPr>
                <w:color w:val="000000"/>
                <w:shd w:fill="FFFFFF" w:val="clear"/>
                <w:lang w:val="uk-UA"/>
              </w:rPr>
              <w:t>будівель</w:t>
            </w:r>
            <w:r>
              <w:rPr>
                <w:color w:val="000000"/>
                <w:shd w:fill="FFFFFF" w:val="clear"/>
              </w:rPr>
              <w:t> 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highlight w:val="white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suppressAutoHyphens w:val="false"/>
              <w:rPr/>
            </w:pPr>
            <w:r>
              <w:rPr>
                <w:color w:val="000000"/>
                <w:shd w:fill="FFFFFF" w:val="clear"/>
                <w:lang w:val="uk-UA"/>
              </w:rPr>
              <w:t xml:space="preserve"> </w:t>
            </w:r>
            <w:r>
              <w:rPr>
                <w:color w:val="000000"/>
                <w:shd w:fill="FFFFFF" w:val="clear"/>
                <w:lang w:val="uk-UA"/>
              </w:rPr>
              <w:t>(ліквідація наслідків збройної агресії РФ)»</w:t>
            </w:r>
          </w:p>
          <w:p>
            <w:pPr>
              <w:pStyle w:val="Normal"/>
              <w:suppressAutoHyphens w:val="false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sz w:val="18"/>
                <w:szCs w:val="18"/>
                <w:lang w:val="uk-UA"/>
              </w:rPr>
            </w:pPr>
            <w:r>
              <w:rPr>
                <w:sz w:val="18"/>
                <w:szCs w:val="18"/>
                <w:lang w:val="uk-UA"/>
              </w:rPr>
              <w:t>Управління житлово - комунального господарства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2 808,581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2 808,581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rFonts w:ascii="Calibri" w:hAnsi="Calibri" w:cs="Calibri"/>
                <w:color w:val="000000"/>
                <w:lang w:val="uk-UA"/>
              </w:rPr>
            </w:pPr>
            <w:r>
              <w:rPr>
                <w:rFonts w:cs="Calibri" w:ascii="Calibri" w:hAnsi="Calibri"/>
                <w:color w:val="000000"/>
                <w:lang w:val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кількість комплектів ПКД/кількість експертних звітів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  <w:lang w:val="uk-UA"/>
              </w:rPr>
            </w:pPr>
            <w:r>
              <w:rPr>
                <w:color w:val="000000"/>
                <w:lang w:val="uk-UA"/>
              </w:rPr>
              <w:t>4/1 од.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143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(заміна вікон пошкоджених внаслідок військової агресії рф)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511,322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ind w:right="-128" w:hanging="306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511,322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Замінено вікна, площа вікон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89 м²</w:t>
            </w:r>
          </w:p>
        </w:tc>
      </w:tr>
      <w:tr>
        <w:trPr>
          <w:trHeight w:val="381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2) доповнити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 xml:space="preserve">заходами 157, 158, 159, 160, 161, 162, 163, 164, 165 </w:t>
            </w:r>
            <w:r>
              <w:rPr>
                <w:sz w:val="24"/>
                <w:szCs w:val="24"/>
                <w:lang w:val="uk-UA" w:eastAsia="uk-UA"/>
              </w:rPr>
              <w:t>завдання: «</w:t>
            </w:r>
            <w:r>
              <w:rPr>
                <w:sz w:val="24"/>
                <w:szCs w:val="24"/>
                <w:lang w:val="uk-UA" w:eastAsia="ru-RU"/>
              </w:rPr>
              <w:t>3.1.1. Підвищення спроможності регіону попереджувати, реагувати та ліквідовувати наслідки надзвичайних ситуацій</w:t>
            </w:r>
            <w:r>
              <w:rPr>
                <w:sz w:val="24"/>
                <w:szCs w:val="24"/>
                <w:lang w:val="uk-UA"/>
              </w:rPr>
              <w:t xml:space="preserve">» </w:t>
            </w:r>
            <w:r>
              <w:rPr>
                <w:sz w:val="24"/>
                <w:szCs w:val="24"/>
                <w:lang w:val="uk-UA" w:eastAsia="uk-UA"/>
              </w:rPr>
              <w:t>в такій редакції:</w:t>
            </w:r>
          </w:p>
        </w:tc>
      </w:tr>
      <w:tr>
        <w:trPr>
          <w:trHeight w:val="410" w:hRule="atLeast"/>
        </w:trPr>
        <w:tc>
          <w:tcPr>
            <w:tcW w:w="1856" w:type="dxa"/>
            <w:vMerge w:val="restart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rStyle w:val="Docdata"/>
                <w:color w:val="000000"/>
                <w:lang w:val="uk-UA"/>
              </w:rPr>
            </w:pPr>
            <w:r>
              <w:rPr>
                <w:lang w:val="uk-UA"/>
              </w:rPr>
              <w:t>3.1.1 Підвищення спроможності регіону попереджувати, реагувати та ліквідувати наслідки надзвичайних ситуацій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157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(заміна вікон пошкоджених внаслідок військової агресії рф)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564,572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ind w:right="-128" w:hanging="306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564,572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Замінено вікна, площа вікон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92 м²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158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(заміна вікон пошкоджених внаслідок військової агресії рф) (у т.ч. розробка проєктно-кошторисної документації та її експертиза)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823,667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ind w:right="-128" w:hanging="306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823,667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Замінено вікна, площа вікон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134 м²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eastAsia="uk-UA"/>
              </w:rPr>
            </w:pPr>
            <w:r>
              <w:rPr>
                <w:lang w:eastAsia="uk-UA"/>
              </w:rPr>
              <w:t>159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(заміна вікон пошкоджених внаслідок військової агресії рф)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318,749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ind w:right="-128" w:hanging="306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318,749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Замінено вікна, площа вікон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53 м²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160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КЗ ДНЗ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(заміна вікон пошкоджених внаслідок військової агресії рф)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313,9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ind w:right="-128" w:hanging="306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313,9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Замінено вікна, площа вікон 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48,2 м²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161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(заміна вікон пошкоджених внаслідок військової агресії рф)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313,564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ind w:right="-128" w:hanging="306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313,564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 xml:space="preserve">Замінено вікна, площа вікон 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52 м²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162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(заміна вікон пошкоджених внаслідок військової агресії рф)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124,18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ind w:right="-128" w:hanging="306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124,18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Замінено вікна, площа вікон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21,5 м²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163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(заміна вікон пошкоджених внаслідок військової агресії рф) (у т.ч. розробка проєктно-кошторисної документації та її експертиза)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1 119,553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ind w:right="-128" w:hanging="306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1 119,553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Замінено вікна, площа вікон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190 м²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164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rPr/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(заміна вікон пошкоджених внаслідок військової агресії рф)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551,592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ind w:right="-128" w:hanging="306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551,592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Замінено вікна, площа вікон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94,4 м²</w:t>
            </w:r>
          </w:p>
        </w:tc>
      </w:tr>
      <w:tr>
        <w:trPr>
          <w:trHeight w:val="693" w:hRule="atLeast"/>
        </w:trPr>
        <w:tc>
          <w:tcPr>
            <w:tcW w:w="1856" w:type="dxa"/>
            <w:vMerge w:val="continue"/>
            <w:tcBorders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165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lang w:val="uk-UA"/>
              </w:rPr>
              <w:t xml:space="preserve">Капітальний ремонт 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 xml:space="preserve"> </w:t>
            </w:r>
            <w:r>
              <w:rPr>
                <w:lang w:val="uk-UA"/>
              </w:rPr>
              <w:t>(заміна вікон пошкоджених внаслідок військової агресії рф)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/>
              </w:rPr>
              <w:t>2023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lang w:val="uk-UA" w:eastAsia="ru-RU"/>
              </w:rPr>
            </w:pPr>
            <w:r>
              <w:rPr>
                <w:lang w:val="uk-UA"/>
              </w:rPr>
              <w:t>Відділ освіти, управління житлово - комунального господарства</w:t>
            </w:r>
          </w:p>
          <w:p>
            <w:pPr>
              <w:pStyle w:val="Normal"/>
              <w:suppressAutoHyphens w:val="false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395,490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ind w:right="-128" w:hanging="306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395,490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lang w:val="uk-UA" w:eastAsia="uk-UA"/>
              </w:rPr>
            </w:pPr>
            <w:r>
              <w:rPr>
                <w:b/>
                <w:bCs/>
                <w:lang w:val="uk-UA" w:eastAsia="uk-UA"/>
              </w:rPr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Замінено вікна, площа вікон</w:t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  <w:t>66 м²</w:t>
            </w:r>
          </w:p>
        </w:tc>
      </w:tr>
      <w:tr>
        <w:trPr>
          <w:trHeight w:val="223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ru-RU"/>
              </w:rPr>
              <w:t xml:space="preserve">3)  </w:t>
            </w:r>
            <w:r>
              <w:rPr>
                <w:sz w:val="24"/>
                <w:szCs w:val="24"/>
                <w:lang w:val="uk-UA"/>
              </w:rPr>
              <w:t>доповнити</w:t>
            </w:r>
            <w:r>
              <w:rPr>
                <w:sz w:val="24"/>
                <w:szCs w:val="24"/>
                <w:lang w:val="ru-RU"/>
              </w:rPr>
              <w:t xml:space="preserve"> </w:t>
            </w:r>
            <w:r>
              <w:rPr>
                <w:sz w:val="24"/>
                <w:szCs w:val="24"/>
                <w:lang w:val="uk-UA"/>
              </w:rPr>
              <w:t>заходом 22 Інші</w:t>
            </w:r>
            <w:r>
              <w:rPr>
                <w:color w:val="FF0000"/>
                <w:sz w:val="24"/>
                <w:szCs w:val="24"/>
                <w:lang w:val="uk-UA"/>
              </w:rPr>
              <w:t xml:space="preserve"> </w:t>
            </w:r>
            <w:r>
              <w:rPr>
                <w:sz w:val="24"/>
                <w:szCs w:val="24"/>
                <w:lang w:val="uk-UA" w:eastAsia="uk-UA"/>
              </w:rPr>
              <w:t>завдання «</w:t>
            </w:r>
            <w:r>
              <w:rPr>
                <w:color w:val="111111"/>
                <w:sz w:val="24"/>
                <w:szCs w:val="24"/>
                <w:lang w:val="uk-UA"/>
              </w:rPr>
              <w:t>заходи з підготовки міста до життя в умовах складних ситуацій</w:t>
            </w:r>
            <w:r>
              <w:rPr>
                <w:sz w:val="24"/>
                <w:szCs w:val="24"/>
                <w:lang w:val="uk-UA"/>
              </w:rPr>
              <w:t xml:space="preserve">» </w:t>
            </w:r>
            <w:r>
              <w:rPr>
                <w:sz w:val="24"/>
                <w:szCs w:val="24"/>
                <w:lang w:val="uk-UA" w:eastAsia="uk-UA"/>
              </w:rPr>
              <w:t>в такій редакції:</w:t>
            </w:r>
          </w:p>
        </w:tc>
      </w:tr>
      <w:tr>
        <w:trPr>
          <w:trHeight w:val="693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Інші завдання:</w:t>
            </w:r>
          </w:p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color w:val="111111"/>
                <w:lang w:val="uk-UA"/>
              </w:rPr>
              <w:t>заходи з підготовки міста до життя в умовах складних ситуацій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22</w:t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>
                <w:lang w:val="uk-UA"/>
              </w:rPr>
            </w:pPr>
            <w:r>
              <w:rPr>
                <w:lang w:val="uk-UA"/>
              </w:rPr>
              <w:t>Надання  прихистку особам, які цього потребують з числа внутрішньо переміщених осіб/тимчасово переміщених осіб/мешканців громади на час воєнного стану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21,725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 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 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21,725 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lang w:val="uk-UA"/>
              </w:rPr>
            </w:pPr>
            <w:r>
              <w:rPr>
                <w:b/>
                <w:bCs/>
                <w:lang w:val="uk-UA"/>
              </w:rPr>
              <w:t> </w:t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lang w:val="uk-UA"/>
              </w:rPr>
            </w:pPr>
            <w:r>
              <w:rPr>
                <w:lang w:val="uk-UA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rPr/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/>
            </w:pP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  <w:lang w:val="uk-UA"/>
              </w:rPr>
              <w:t>(</w:t>
            </w:r>
            <w:r>
              <w:rPr>
                <w:b w:val="false"/>
                <w:i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конфіденційна інформація</w:t>
            </w:r>
            <w:r>
              <w:rPr>
                <w:b w:val="false"/>
                <w:i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u w:val="none"/>
                <w:em w:val="none"/>
              </w:rPr>
              <w:t>)</w:t>
            </w:r>
          </w:p>
          <w:p>
            <w:pPr>
              <w:pStyle w:val="Normal"/>
              <w:jc w:val="center"/>
              <w:rPr>
                <w:lang w:val="uk-UA"/>
              </w:rPr>
            </w:pPr>
            <w:r>
              <w:rPr/>
            </w:r>
          </w:p>
        </w:tc>
      </w:tr>
      <w:tr>
        <w:trPr>
          <w:trHeight w:val="371" w:hRule="atLeast"/>
        </w:trPr>
        <w:tc>
          <w:tcPr>
            <w:tcW w:w="16032" w:type="dxa"/>
            <w:gridSpan w:val="23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rPr>
                <w:lang w:val="ru-RU"/>
              </w:rPr>
            </w:pPr>
            <w:r>
              <w:rPr>
                <w:color w:val="262626"/>
                <w:sz w:val="24"/>
                <w:szCs w:val="24"/>
                <w:lang w:val="uk-UA"/>
              </w:rPr>
              <w:t xml:space="preserve">4) </w:t>
            </w:r>
            <w:r>
              <w:rPr>
                <w:color w:val="000000"/>
                <w:sz w:val="24"/>
                <w:szCs w:val="24"/>
                <w:lang w:val="uk-UA" w:eastAsia="ru-RU"/>
              </w:rPr>
              <w:t>Рядок «Всього» викласти в такій редакції:</w:t>
            </w:r>
          </w:p>
        </w:tc>
      </w:tr>
      <w:tr>
        <w:trPr>
          <w:trHeight w:val="419" w:hRule="atLeast"/>
        </w:trPr>
        <w:tc>
          <w:tcPr>
            <w:tcW w:w="18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jc w:val="center"/>
              <w:rPr>
                <w:lang w:val="uk-UA" w:eastAsia="ru-RU"/>
              </w:rPr>
            </w:pPr>
            <w:r>
              <w:rPr>
                <w:lang w:val="uk-UA" w:eastAsia="ru-RU"/>
              </w:rPr>
            </w:r>
          </w:p>
        </w:tc>
        <w:tc>
          <w:tcPr>
            <w:tcW w:w="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</w:r>
          </w:p>
        </w:tc>
        <w:tc>
          <w:tcPr>
            <w:tcW w:w="2834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 xml:space="preserve">Всього            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b/>
                <w:b/>
                <w:bCs/>
                <w:sz w:val="16"/>
                <w:szCs w:val="16"/>
                <w:lang w:val="uk-UA" w:eastAsia="uk-UA"/>
              </w:rPr>
            </w:pPr>
            <w:r>
              <w:rPr>
                <w:b/>
                <w:bCs/>
                <w:sz w:val="16"/>
                <w:szCs w:val="16"/>
                <w:lang w:val="uk-UA" w:eastAsia="uk-UA"/>
              </w:rPr>
              <w:t> </w:t>
            </w:r>
            <w:r>
              <w:rPr>
                <w:b/>
                <w:bCs/>
                <w:sz w:val="16"/>
                <w:szCs w:val="16"/>
                <w:lang w:val="uk-UA" w:eastAsia="uk-UA"/>
              </w:rPr>
              <w:t>2023</w:t>
            </w:r>
          </w:p>
        </w:tc>
        <w:tc>
          <w:tcPr>
            <w:tcW w:w="1568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253793,408</w:t>
            </w:r>
          </w:p>
        </w:tc>
        <w:tc>
          <w:tcPr>
            <w:tcW w:w="112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21 595,092</w:t>
            </w:r>
          </w:p>
        </w:tc>
        <w:tc>
          <w:tcPr>
            <w:tcW w:w="996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20 000,000</w:t>
            </w:r>
          </w:p>
        </w:tc>
        <w:tc>
          <w:tcPr>
            <w:tcW w:w="1133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210 787,591</w:t>
            </w:r>
          </w:p>
        </w:tc>
        <w:tc>
          <w:tcPr>
            <w:tcW w:w="709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0,000</w:t>
            </w:r>
          </w:p>
        </w:tc>
        <w:tc>
          <w:tcPr>
            <w:tcW w:w="992" w:type="dxa"/>
            <w:gridSpan w:val="3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1 410,725</w:t>
            </w:r>
          </w:p>
        </w:tc>
        <w:tc>
          <w:tcPr>
            <w:tcW w:w="1134" w:type="dxa"/>
            <w:gridSpan w:val="2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uk-UA"/>
              </w:rPr>
            </w:pPr>
            <w:r>
              <w:rPr>
                <w:lang w:val="uk-UA"/>
              </w:rPr>
            </w:r>
          </w:p>
        </w:tc>
        <w:tc>
          <w:tcPr>
            <w:tcW w:w="849" w:type="dxa"/>
            <w:tcBorders>
              <w:top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</w:tcPr>
          <w:p>
            <w:pPr>
              <w:pStyle w:val="Normal"/>
              <w:suppressAutoHyphens w:val="false"/>
              <w:jc w:val="center"/>
              <w:rPr>
                <w:lang w:val="ru-RU"/>
              </w:rPr>
            </w:pPr>
            <w:r>
              <w:rPr>
                <w:lang w:val="ru-RU"/>
              </w:rPr>
            </w:r>
          </w:p>
        </w:tc>
      </w:tr>
    </w:tbl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</w:r>
    </w:p>
    <w:p>
      <w:pPr>
        <w:pStyle w:val="15"/>
        <w:jc w:val="both"/>
        <w:rPr>
          <w:b w:val="false"/>
          <w:b w:val="false"/>
          <w:bCs w:val="false"/>
          <w:color w:val="00000A"/>
          <w:sz w:val="24"/>
          <w:szCs w:val="24"/>
        </w:rPr>
      </w:pPr>
      <w:r>
        <w:rPr>
          <w:b w:val="false"/>
          <w:bCs w:val="false"/>
          <w:color w:val="00000A"/>
          <w:sz w:val="24"/>
          <w:szCs w:val="24"/>
        </w:rPr>
        <w:t xml:space="preserve">В.о. начальника відділу з питань цивільного захисту, </w:t>
      </w:r>
    </w:p>
    <w:p>
      <w:pPr>
        <w:pStyle w:val="15"/>
        <w:jc w:val="both"/>
        <w:rPr/>
      </w:pPr>
      <w:r>
        <w:rPr>
          <w:b w:val="false"/>
          <w:bCs w:val="false"/>
          <w:color w:val="00000A"/>
          <w:sz w:val="24"/>
          <w:szCs w:val="24"/>
        </w:rPr>
        <w:t>мобілізаційної та оборонної роботи</w:t>
      </w:r>
      <w:r>
        <w:rPr>
          <w:sz w:val="24"/>
          <w:szCs w:val="24"/>
        </w:rPr>
        <w:t xml:space="preserve"> </w:t>
      </w:r>
      <w:r>
        <w:rPr>
          <w:b w:val="false"/>
          <w:bCs w:val="false"/>
          <w:sz w:val="24"/>
          <w:szCs w:val="24"/>
        </w:rPr>
        <w:t>Слов’янської міської ВА</w:t>
        <w:tab/>
        <w:t xml:space="preserve">                                                Валерій НОВАК</w:t>
      </w:r>
      <w:r>
        <w:rPr>
          <w:sz w:val="20"/>
          <w:szCs w:val="20"/>
          <w:lang w:eastAsia="uk-UA"/>
        </w:rPr>
        <w:t xml:space="preserve"> </w:t>
      </w:r>
    </w:p>
    <w:sectPr>
      <w:headerReference w:type="default" r:id="rId2"/>
      <w:type w:val="nextPage"/>
      <w:pgSz w:orient="landscape" w:w="16838" w:h="11906"/>
      <w:pgMar w:left="567" w:right="567" w:header="708" w:top="1418" w:footer="0" w:bottom="567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isplayBackgroundShape/>
  <w:embedSystemFonts/>
  <w:defaultTabStop w:val="343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Cs w:val="22"/>
        <w:lang w:val="uk-UA" w:eastAsia="uk-UA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semiHidden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locked="1" w:uiPriority="0" w:semiHidden="0" w:unhideWhenUsed="0"/>
    <w:lsdException w:name="caption" w:locked="1" w:uiPriority="0" w:semiHidden="0" w:unhideWhenUsed="0" w:qFormat="1"/>
    <w:lsdException w:name="List Number" w:locked="1" w:uiPriority="0" w:semiHidden="0" w:unhideWhenUsed="0"/>
    <w:lsdException w:name="List 4" w:locked="1" w:uiPriority="0" w:semiHidden="0" w:unhideWhenUsed="0"/>
    <w:lsdException w:name="List 5" w:locked="1" w:uiPriority="0" w:semiHidden="0" w:unhideWhenUsed="0"/>
    <w:lsdException w:name="Title" w:locked="1" w:uiPriority="0" w:semiHidden="0" w:unhideWhenUsed="0" w:qFormat="1"/>
    <w:lsdException w:name="Default Paragraph Font" w:uiPriority="1"/>
    <w:lsdException w:name="Body Text" w:locked="1" w:uiPriority="0" w:semiHidden="0" w:unhideWhenUsed="0"/>
    <w:lsdException w:name="Subtitle" w:locked="1" w:uiPriority="0" w:semiHidden="0" w:unhideWhenUsed="0" w:qFormat="1"/>
    <w:lsdException w:name="Salutation" w:locked="1" w:uiPriority="0" w:semiHidden="0" w:unhideWhenUsed="0"/>
    <w:lsdException w:name="Date" w:locked="1" w:uiPriority="0" w:semiHidden="0" w:unhideWhenUsed="0"/>
    <w:lsdException w:name="Body Text First Indent" w:locked="1" w:uiPriority="0" w:semiHidden="0" w:unhideWhenUsed="0"/>
    <w:lsdException w:name="Hyperlink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Normal (Web)" w:locked="1" w:uiPriority="0" w:semiHidden="0" w:unhideWhenUsed="0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d1319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sz w:val="20"/>
      <w:szCs w:val="20"/>
      <w:lang w:val="en-US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7d1319"/>
    <w:pPr>
      <w:keepNext/>
      <w:numPr>
        <w:ilvl w:val="0"/>
        <w:numId w:val="1"/>
      </w:numPr>
      <w:spacing w:before="240" w:after="60"/>
      <w:outlineLvl w:val="0"/>
      <w:outlineLvl w:val="0"/>
    </w:pPr>
    <w:rPr>
      <w:rFonts w:ascii="Arial" w:hAnsi="Arial" w:cs="Arial"/>
      <w:b/>
      <w:bCs/>
      <w:sz w:val="28"/>
      <w:szCs w:val="28"/>
    </w:rPr>
  </w:style>
  <w:style w:type="paragraph" w:styleId="2">
    <w:name w:val="Heading 2"/>
    <w:basedOn w:val="Normal"/>
    <w:next w:val="Normal"/>
    <w:link w:val="Heading2Char"/>
    <w:uiPriority w:val="99"/>
    <w:qFormat/>
    <w:rsid w:val="007d1319"/>
    <w:pPr>
      <w:keepNext/>
      <w:numPr>
        <w:ilvl w:val="1"/>
        <w:numId w:val="1"/>
      </w:numPr>
      <w:spacing w:before="240" w:after="60"/>
      <w:outlineLvl w:val="1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Normal"/>
    <w:next w:val="Normal"/>
    <w:link w:val="Heading3Char"/>
    <w:uiPriority w:val="99"/>
    <w:qFormat/>
    <w:rsid w:val="007d1319"/>
    <w:pPr>
      <w:keepNext/>
      <w:numPr>
        <w:ilvl w:val="2"/>
        <w:numId w:val="1"/>
      </w:numPr>
      <w:spacing w:before="240" w:after="60"/>
      <w:outlineLvl w:val="2"/>
      <w:outlineLvl w:val="2"/>
    </w:pPr>
    <w:rPr>
      <w:b/>
      <w:bCs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967594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Heading2Char" w:customStyle="1">
    <w:name w:val="Heading 2 Char"/>
    <w:basedOn w:val="DefaultParagraphFont"/>
    <w:link w:val="Heading2"/>
    <w:uiPriority w:val="9"/>
    <w:semiHidden/>
    <w:qFormat/>
    <w:rsid w:val="00967594"/>
    <w:rPr>
      <w:rFonts w:ascii="Cambria" w:hAnsi="Cambria" w:eastAsia="" w:cs="" w:asciiTheme="majorHAnsi" w:cstheme="majorBidi" w:eastAsiaTheme="majorEastAsia" w:hAnsiTheme="majorHAnsi"/>
      <w:b/>
      <w:bCs/>
      <w:i/>
      <w:iCs/>
      <w:sz w:val="28"/>
      <w:szCs w:val="28"/>
      <w:lang w:val="en-US" w:eastAsia="zh-CN"/>
    </w:rPr>
  </w:style>
  <w:style w:type="character" w:styleId="Heading3Char" w:customStyle="1">
    <w:name w:val="Heading 3 Char"/>
    <w:basedOn w:val="DefaultParagraphFont"/>
    <w:link w:val="Heading3"/>
    <w:uiPriority w:val="99"/>
    <w:qFormat/>
    <w:locked/>
    <w:rsid w:val="00cb71c1"/>
    <w:rPr>
      <w:b/>
      <w:bCs/>
      <w:lang w:val="en-US" w:eastAsia="zh-CN"/>
    </w:rPr>
  </w:style>
  <w:style w:type="character" w:styleId="WW8Num1z0" w:customStyle="1">
    <w:name w:val="WW8Num1z0"/>
    <w:uiPriority w:val="99"/>
    <w:qFormat/>
    <w:rsid w:val="007d1319"/>
    <w:rPr/>
  </w:style>
  <w:style w:type="character" w:styleId="WW8Num1z1" w:customStyle="1">
    <w:name w:val="WW8Num1z1"/>
    <w:uiPriority w:val="99"/>
    <w:qFormat/>
    <w:rsid w:val="007d1319"/>
    <w:rPr/>
  </w:style>
  <w:style w:type="character" w:styleId="WW8Num1z2" w:customStyle="1">
    <w:name w:val="WW8Num1z2"/>
    <w:uiPriority w:val="99"/>
    <w:qFormat/>
    <w:rsid w:val="007d1319"/>
    <w:rPr/>
  </w:style>
  <w:style w:type="character" w:styleId="WW8Num1z3" w:customStyle="1">
    <w:name w:val="WW8Num1z3"/>
    <w:uiPriority w:val="99"/>
    <w:qFormat/>
    <w:rsid w:val="007d1319"/>
    <w:rPr/>
  </w:style>
  <w:style w:type="character" w:styleId="WW8Num1z4" w:customStyle="1">
    <w:name w:val="WW8Num1z4"/>
    <w:uiPriority w:val="99"/>
    <w:qFormat/>
    <w:rsid w:val="007d1319"/>
    <w:rPr/>
  </w:style>
  <w:style w:type="character" w:styleId="WW8Num1z5" w:customStyle="1">
    <w:name w:val="WW8Num1z5"/>
    <w:uiPriority w:val="99"/>
    <w:qFormat/>
    <w:rsid w:val="007d1319"/>
    <w:rPr/>
  </w:style>
  <w:style w:type="character" w:styleId="WW8Num1z6" w:customStyle="1">
    <w:name w:val="WW8Num1z6"/>
    <w:uiPriority w:val="99"/>
    <w:qFormat/>
    <w:rsid w:val="007d1319"/>
    <w:rPr/>
  </w:style>
  <w:style w:type="character" w:styleId="WW8Num1z7" w:customStyle="1">
    <w:name w:val="WW8Num1z7"/>
    <w:uiPriority w:val="99"/>
    <w:qFormat/>
    <w:rsid w:val="007d1319"/>
    <w:rPr/>
  </w:style>
  <w:style w:type="character" w:styleId="WW8Num1z8" w:customStyle="1">
    <w:name w:val="WW8Num1z8"/>
    <w:uiPriority w:val="99"/>
    <w:qFormat/>
    <w:rsid w:val="007d1319"/>
    <w:rPr/>
  </w:style>
  <w:style w:type="character" w:styleId="11" w:customStyle="1">
    <w:name w:val="Основной шрифт абзаца1"/>
    <w:uiPriority w:val="99"/>
    <w:qFormat/>
    <w:rsid w:val="007d1319"/>
    <w:rPr/>
  </w:style>
  <w:style w:type="character" w:styleId="21" w:customStyle="1">
    <w:name w:val="Основной шрифт абзаца2"/>
    <w:uiPriority w:val="99"/>
    <w:qFormat/>
    <w:rsid w:val="007d1319"/>
    <w:rPr/>
  </w:style>
  <w:style w:type="character" w:styleId="BodyTextChar" w:customStyle="1">
    <w:name w:val="Body Text Char"/>
    <w:basedOn w:val="DefaultParagraphFont"/>
    <w:link w:val="BodyText"/>
    <w:uiPriority w:val="99"/>
    <w:qFormat/>
    <w:locked/>
    <w:rsid w:val="00f769e3"/>
    <w:rPr>
      <w:lang w:val="en-US" w:eastAsia="zh-CN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967594"/>
    <w:rPr>
      <w:rFonts w:ascii="Cambria" w:hAnsi="Cambria" w:eastAsia="" w:cs="" w:asciiTheme="majorHAnsi" w:cstheme="majorBidi" w:eastAsiaTheme="majorEastAsia" w:hAnsiTheme="majorHAnsi"/>
      <w:sz w:val="24"/>
      <w:szCs w:val="24"/>
      <w:lang w:val="en-US" w:eastAsia="zh-CN"/>
    </w:rPr>
  </w:style>
  <w:style w:type="character" w:styleId="TitleChar" w:customStyle="1">
    <w:name w:val="Title Char"/>
    <w:basedOn w:val="DefaultParagraphFont"/>
    <w:link w:val="Title"/>
    <w:uiPriority w:val="10"/>
    <w:qFormat/>
    <w:rsid w:val="00967594"/>
    <w:rPr>
      <w:rFonts w:ascii="Cambria" w:hAnsi="Cambria" w:eastAsia="" w:cs="" w:asciiTheme="majorHAnsi" w:cstheme="majorBidi" w:eastAsiaTheme="majorEastAsia" w:hAnsiTheme="majorHAnsi"/>
      <w:b/>
      <w:bCs/>
      <w:sz w:val="32"/>
      <w:szCs w:val="32"/>
      <w:lang w:val="en-US" w:eastAsia="zh-CN"/>
    </w:rPr>
  </w:style>
  <w:style w:type="character" w:styleId="Rvts9" w:customStyle="1">
    <w:name w:val="rvts9"/>
    <w:uiPriority w:val="99"/>
    <w:qFormat/>
    <w:rsid w:val="002f0690"/>
    <w:rPr/>
  </w:style>
  <w:style w:type="character" w:styleId="HeaderChar" w:customStyle="1">
    <w:name w:val="Header Char"/>
    <w:basedOn w:val="DefaultParagraphFont"/>
    <w:link w:val="Header"/>
    <w:uiPriority w:val="99"/>
    <w:qFormat/>
    <w:locked/>
    <w:rsid w:val="00451fc6"/>
    <w:rPr>
      <w:sz w:val="24"/>
      <w:szCs w:val="24"/>
      <w:lang w:val="x-none" w:eastAsia="zh-CN"/>
    </w:rPr>
  </w:style>
  <w:style w:type="character" w:styleId="BalloonTextChar" w:customStyle="1">
    <w:name w:val="Balloon Text Char"/>
    <w:basedOn w:val="DefaultParagraphFont"/>
    <w:link w:val="BalloonText"/>
    <w:uiPriority w:val="99"/>
    <w:qFormat/>
    <w:locked/>
    <w:rsid w:val="003d0ec9"/>
    <w:rPr>
      <w:rFonts w:ascii="Tahoma" w:hAnsi="Tahoma" w:cs="Tahoma"/>
      <w:sz w:val="14"/>
      <w:szCs w:val="14"/>
      <w:lang w:val="en-US" w:eastAsia="zh-CN"/>
    </w:rPr>
  </w:style>
  <w:style w:type="character" w:styleId="Rvts7" w:customStyle="1">
    <w:name w:val="rvts7"/>
    <w:uiPriority w:val="99"/>
    <w:qFormat/>
    <w:rsid w:val="007e6cb7"/>
    <w:rPr/>
  </w:style>
  <w:style w:type="character" w:styleId="Style11">
    <w:name w:val="Гіперпосилання"/>
    <w:basedOn w:val="DefaultParagraphFont"/>
    <w:uiPriority w:val="99"/>
    <w:rsid w:val="007c5d61"/>
    <w:rPr>
      <w:color w:val="0000FF"/>
      <w:u w:val="single"/>
    </w:rPr>
  </w:style>
  <w:style w:type="character" w:styleId="Strong">
    <w:name w:val="Strong"/>
    <w:basedOn w:val="DefaultParagraphFont"/>
    <w:uiPriority w:val="99"/>
    <w:qFormat/>
    <w:rsid w:val="000d1aed"/>
    <w:rPr>
      <w:b/>
      <w:bCs/>
    </w:rPr>
  </w:style>
  <w:style w:type="character" w:styleId="FooterChar" w:customStyle="1">
    <w:name w:val="Footer Char"/>
    <w:basedOn w:val="DefaultParagraphFont"/>
    <w:link w:val="Footer"/>
    <w:uiPriority w:val="99"/>
    <w:qFormat/>
    <w:locked/>
    <w:rsid w:val="00b532b2"/>
    <w:rPr>
      <w:sz w:val="18"/>
      <w:szCs w:val="18"/>
      <w:lang w:val="en-US" w:eastAsia="zh-CN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203050"/>
    <w:rPr>
      <w:sz w:val="18"/>
      <w:szCs w:val="18"/>
      <w:lang w:val="en-US" w:eastAsia="zh-CN"/>
    </w:rPr>
  </w:style>
  <w:style w:type="character" w:styleId="BodyText3Char" w:customStyle="1">
    <w:name w:val="Body Text 3 Char"/>
    <w:basedOn w:val="DefaultParagraphFont"/>
    <w:link w:val="BodyText3"/>
    <w:uiPriority w:val="99"/>
    <w:qFormat/>
    <w:locked/>
    <w:rsid w:val="00203050"/>
    <w:rPr>
      <w:sz w:val="14"/>
      <w:szCs w:val="14"/>
      <w:lang w:val="en-US" w:eastAsia="zh-CN"/>
    </w:rPr>
  </w:style>
  <w:style w:type="character" w:styleId="Rvts0" w:customStyle="1">
    <w:name w:val="rvts0"/>
    <w:uiPriority w:val="99"/>
    <w:qFormat/>
    <w:rsid w:val="004a6fc3"/>
    <w:rPr>
      <w:rFonts w:ascii="Times New Roman" w:hAnsi="Times New Roman" w:cs="Times New Roman"/>
    </w:rPr>
  </w:style>
  <w:style w:type="character" w:styleId="BodyText2Char" w:customStyle="1">
    <w:name w:val="Body Text 2 Char"/>
    <w:basedOn w:val="DefaultParagraphFont"/>
    <w:link w:val="BodyText2"/>
    <w:uiPriority w:val="99"/>
    <w:semiHidden/>
    <w:qFormat/>
    <w:rsid w:val="00967594"/>
    <w:rPr>
      <w:sz w:val="20"/>
      <w:szCs w:val="20"/>
      <w:lang w:val="en-US" w:eastAsia="zh-CN"/>
    </w:rPr>
  </w:style>
  <w:style w:type="character" w:styleId="ListLabel22" w:customStyle="1">
    <w:name w:val="ListLabel 22"/>
    <w:uiPriority w:val="99"/>
    <w:qFormat/>
    <w:rsid w:val="00317920"/>
    <w:rPr/>
  </w:style>
  <w:style w:type="character" w:styleId="Docdata" w:customStyle="1">
    <w:name w:val="docdata"/>
    <w:uiPriority w:val="99"/>
    <w:qFormat/>
    <w:rsid w:val="000647fe"/>
    <w:rPr/>
  </w:style>
  <w:style w:type="character" w:styleId="ListLabel23">
    <w:name w:val="ListLabel 23"/>
    <w:qFormat/>
    <w:rPr>
      <w:rFonts w:eastAsia="Times New Roman"/>
    </w:rPr>
  </w:style>
  <w:style w:type="character" w:styleId="ListLabel24">
    <w:name w:val="ListLabel 24"/>
    <w:qFormat/>
    <w:rPr>
      <w:rFonts w:cs="Courier New"/>
    </w:rPr>
  </w:style>
  <w:style w:type="character" w:styleId="ListLabel25">
    <w:name w:val="ListLabel 25"/>
    <w:qFormat/>
    <w:rPr>
      <w:rFonts w:cs="Wingdings"/>
    </w:rPr>
  </w:style>
  <w:style w:type="character" w:styleId="ListLabel26">
    <w:name w:val="ListLabel 26"/>
    <w:qFormat/>
    <w:rPr>
      <w:rFonts w:cs="Symbol"/>
    </w:rPr>
  </w:style>
  <w:style w:type="character" w:styleId="ListLabel27">
    <w:name w:val="ListLabel 27"/>
    <w:qFormat/>
    <w:rPr>
      <w:rFonts w:cs="Courier New"/>
    </w:rPr>
  </w:style>
  <w:style w:type="character" w:styleId="ListLabel28">
    <w:name w:val="ListLabel 28"/>
    <w:qFormat/>
    <w:rPr>
      <w:rFonts w:cs="Wingdings"/>
    </w:rPr>
  </w:style>
  <w:style w:type="character" w:styleId="ListLabel29">
    <w:name w:val="ListLabel 29"/>
    <w:qFormat/>
    <w:rPr>
      <w:rFonts w:cs="Symbol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Wingdings"/>
    </w:rPr>
  </w:style>
  <w:style w:type="character" w:styleId="ListLabel32">
    <w:name w:val="ListLabel 32"/>
    <w:qFormat/>
    <w:rPr>
      <w:rFonts w:eastAsia="Times New Roman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Wingdings"/>
    </w:rPr>
  </w:style>
  <w:style w:type="character" w:styleId="ListLabel35">
    <w:name w:val="ListLabel 35"/>
    <w:qFormat/>
    <w:rPr>
      <w:rFonts w:cs="Symbol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Wingdings"/>
    </w:rPr>
  </w:style>
  <w:style w:type="character" w:styleId="ListLabel38">
    <w:name w:val="ListLabel 38"/>
    <w:qFormat/>
    <w:rPr>
      <w:rFonts w:cs="Symbol"/>
    </w:rPr>
  </w:style>
  <w:style w:type="character" w:styleId="ListLabel39">
    <w:name w:val="ListLabel 39"/>
    <w:qFormat/>
    <w:rPr>
      <w:rFonts w:cs="Courier New"/>
    </w:rPr>
  </w:style>
  <w:style w:type="character" w:styleId="ListLabel40">
    <w:name w:val="ListLabel 40"/>
    <w:qFormat/>
    <w:rPr>
      <w:rFonts w:cs="Wingdings"/>
    </w:rPr>
  </w:style>
  <w:style w:type="character" w:styleId="ListLabel41">
    <w:name w:val="ListLabel 41"/>
    <w:qFormat/>
    <w:rPr>
      <w:rFonts w:eastAsia="Times New Roman"/>
      <w:b w:val="false"/>
      <w:bCs w:val="false"/>
      <w:sz w:val="20"/>
      <w:szCs w:val="20"/>
    </w:rPr>
  </w:style>
  <w:style w:type="character" w:styleId="ListLabel42">
    <w:name w:val="ListLabel 42"/>
    <w:qFormat/>
    <w:rPr>
      <w:rFonts w:cs="Courier New"/>
    </w:rPr>
  </w:style>
  <w:style w:type="character" w:styleId="ListLabel43">
    <w:name w:val="ListLabel 43"/>
    <w:qFormat/>
    <w:rPr>
      <w:rFonts w:cs="Wingdings"/>
    </w:rPr>
  </w:style>
  <w:style w:type="character" w:styleId="ListLabel44">
    <w:name w:val="ListLabel 44"/>
    <w:qFormat/>
    <w:rPr>
      <w:rFonts w:cs="Symbol"/>
    </w:rPr>
  </w:style>
  <w:style w:type="character" w:styleId="ListLabel45">
    <w:name w:val="ListLabel 45"/>
    <w:qFormat/>
    <w:rPr>
      <w:rFonts w:cs="Courier New"/>
    </w:rPr>
  </w:style>
  <w:style w:type="character" w:styleId="ListLabel46">
    <w:name w:val="ListLabel 46"/>
    <w:qFormat/>
    <w:rPr>
      <w:rFonts w:cs="Wingdings"/>
    </w:rPr>
  </w:style>
  <w:style w:type="character" w:styleId="ListLabel47">
    <w:name w:val="ListLabel 47"/>
    <w:qFormat/>
    <w:rPr>
      <w:rFonts w:cs="Symbol"/>
    </w:rPr>
  </w:style>
  <w:style w:type="character" w:styleId="ListLabel48">
    <w:name w:val="ListLabel 48"/>
    <w:qFormat/>
    <w:rPr>
      <w:rFonts w:cs="Courier New"/>
    </w:rPr>
  </w:style>
  <w:style w:type="character" w:styleId="ListLabel49">
    <w:name w:val="ListLabel 49"/>
    <w:qFormat/>
    <w:rPr>
      <w:rFonts w:cs="Wingdings"/>
    </w:rPr>
  </w:style>
  <w:style w:type="character" w:styleId="ListLabel50">
    <w:name w:val="ListLabel 50"/>
    <w:qFormat/>
    <w:rPr>
      <w:rFonts w:eastAsia="Times New Roman"/>
      <w:b w:val="false"/>
      <w:bCs w:val="false"/>
      <w:sz w:val="20"/>
      <w:szCs w:val="20"/>
    </w:rPr>
  </w:style>
  <w:style w:type="character" w:styleId="ListLabel51">
    <w:name w:val="ListLabel 51"/>
    <w:qFormat/>
    <w:rPr>
      <w:rFonts w:cs="Courier New"/>
    </w:rPr>
  </w:style>
  <w:style w:type="character" w:styleId="ListLabel52">
    <w:name w:val="ListLabel 52"/>
    <w:qFormat/>
    <w:rPr>
      <w:rFonts w:cs="Wingdings"/>
    </w:rPr>
  </w:style>
  <w:style w:type="character" w:styleId="ListLabel53">
    <w:name w:val="ListLabel 53"/>
    <w:qFormat/>
    <w:rPr>
      <w:rFonts w:cs="Symbol"/>
    </w:rPr>
  </w:style>
  <w:style w:type="character" w:styleId="ListLabel54">
    <w:name w:val="ListLabel 54"/>
    <w:qFormat/>
    <w:rPr>
      <w:rFonts w:cs="Courier New"/>
    </w:rPr>
  </w:style>
  <w:style w:type="character" w:styleId="ListLabel55">
    <w:name w:val="ListLabel 55"/>
    <w:qFormat/>
    <w:rPr>
      <w:rFonts w:cs="Wingdings"/>
    </w:rPr>
  </w:style>
  <w:style w:type="character" w:styleId="ListLabel56">
    <w:name w:val="ListLabel 56"/>
    <w:qFormat/>
    <w:rPr>
      <w:rFonts w:cs="Symbol"/>
    </w:rPr>
  </w:style>
  <w:style w:type="character" w:styleId="ListLabel57">
    <w:name w:val="ListLabel 57"/>
    <w:qFormat/>
    <w:rPr>
      <w:rFonts w:cs="Courier New"/>
    </w:rPr>
  </w:style>
  <w:style w:type="character" w:styleId="ListLabel58">
    <w:name w:val="ListLabel 58"/>
    <w:qFormat/>
    <w:rPr>
      <w:rFonts w:cs="Wingdings"/>
    </w:rPr>
  </w:style>
  <w:style w:type="character" w:styleId="ListLabel59">
    <w:name w:val="ListLabel 59"/>
    <w:qFormat/>
    <w:rPr>
      <w:rFonts w:eastAsia="Times New Roman"/>
      <w:color w:val="000000"/>
      <w:sz w:val="20"/>
      <w:szCs w:val="20"/>
    </w:rPr>
  </w:style>
  <w:style w:type="character" w:styleId="ListLabel60">
    <w:name w:val="ListLabel 60"/>
    <w:qFormat/>
    <w:rPr>
      <w:rFonts w:cs="Courier New"/>
    </w:rPr>
  </w:style>
  <w:style w:type="character" w:styleId="ListLabel61">
    <w:name w:val="ListLabel 61"/>
    <w:qFormat/>
    <w:rPr>
      <w:rFonts w:cs="Wingdings"/>
    </w:rPr>
  </w:style>
  <w:style w:type="character" w:styleId="ListLabel62">
    <w:name w:val="ListLabel 62"/>
    <w:qFormat/>
    <w:rPr>
      <w:rFonts w:cs="Symbol"/>
    </w:rPr>
  </w:style>
  <w:style w:type="character" w:styleId="ListLabel63">
    <w:name w:val="ListLabel 63"/>
    <w:qFormat/>
    <w:rPr>
      <w:rFonts w:cs="Courier New"/>
    </w:rPr>
  </w:style>
  <w:style w:type="character" w:styleId="ListLabel64">
    <w:name w:val="ListLabel 64"/>
    <w:qFormat/>
    <w:rPr>
      <w:rFonts w:cs="Wingdings"/>
    </w:rPr>
  </w:style>
  <w:style w:type="character" w:styleId="ListLabel65">
    <w:name w:val="ListLabel 65"/>
    <w:qFormat/>
    <w:rPr>
      <w:rFonts w:cs="Symbol"/>
    </w:rPr>
  </w:style>
  <w:style w:type="character" w:styleId="ListLabel66">
    <w:name w:val="ListLabel 66"/>
    <w:qFormat/>
    <w:rPr>
      <w:rFonts w:cs="Courier New"/>
    </w:rPr>
  </w:style>
  <w:style w:type="character" w:styleId="ListLabel67">
    <w:name w:val="ListLabel 67"/>
    <w:qFormat/>
    <w:rPr>
      <w:rFonts w:cs="Wingdings"/>
    </w:rPr>
  </w:style>
  <w:style w:type="character" w:styleId="ListLabel68">
    <w:name w:val="ListLabel 68"/>
    <w:qFormat/>
    <w:rPr>
      <w:rFonts w:eastAsia="Times New Roman"/>
    </w:rPr>
  </w:style>
  <w:style w:type="character" w:styleId="ListLabel69">
    <w:name w:val="ListLabel 69"/>
    <w:qFormat/>
    <w:rPr>
      <w:rFonts w:cs="Courier New"/>
    </w:rPr>
  </w:style>
  <w:style w:type="character" w:styleId="ListLabel70">
    <w:name w:val="ListLabel 70"/>
    <w:qFormat/>
    <w:rPr>
      <w:rFonts w:cs="Wingdings"/>
    </w:rPr>
  </w:style>
  <w:style w:type="character" w:styleId="ListLabel71">
    <w:name w:val="ListLabel 71"/>
    <w:qFormat/>
    <w:rPr>
      <w:rFonts w:cs="Symbol"/>
    </w:rPr>
  </w:style>
  <w:style w:type="character" w:styleId="ListLabel72">
    <w:name w:val="ListLabel 72"/>
    <w:qFormat/>
    <w:rPr>
      <w:rFonts w:cs="Courier New"/>
    </w:rPr>
  </w:style>
  <w:style w:type="character" w:styleId="ListLabel73">
    <w:name w:val="ListLabel 73"/>
    <w:qFormat/>
    <w:rPr>
      <w:rFonts w:cs="Wingdings"/>
    </w:rPr>
  </w:style>
  <w:style w:type="character" w:styleId="ListLabel74">
    <w:name w:val="ListLabel 74"/>
    <w:qFormat/>
    <w:rPr>
      <w:rFonts w:cs="Symbol"/>
    </w:rPr>
  </w:style>
  <w:style w:type="character" w:styleId="ListLabel75">
    <w:name w:val="ListLabel 75"/>
    <w:qFormat/>
    <w:rPr>
      <w:rFonts w:cs="Courier New"/>
    </w:rPr>
  </w:style>
  <w:style w:type="character" w:styleId="ListLabel76">
    <w:name w:val="ListLabel 76"/>
    <w:qFormat/>
    <w:rPr>
      <w:rFonts w:cs="Wingdings"/>
    </w:rPr>
  </w:style>
  <w:style w:type="character" w:styleId="ListLabel77">
    <w:name w:val="ListLabel 77"/>
    <w:qFormat/>
    <w:rPr>
      <w:rFonts w:eastAsia="Times New Roman"/>
    </w:rPr>
  </w:style>
  <w:style w:type="character" w:styleId="ListLabel78">
    <w:name w:val="ListLabel 78"/>
    <w:qFormat/>
    <w:rPr>
      <w:rFonts w:cs="Courier New"/>
    </w:rPr>
  </w:style>
  <w:style w:type="character" w:styleId="ListLabel79">
    <w:name w:val="ListLabel 79"/>
    <w:qFormat/>
    <w:rPr>
      <w:rFonts w:cs="Wingdings"/>
    </w:rPr>
  </w:style>
  <w:style w:type="character" w:styleId="ListLabel80">
    <w:name w:val="ListLabel 80"/>
    <w:qFormat/>
    <w:rPr>
      <w:rFonts w:cs="Symbol"/>
    </w:rPr>
  </w:style>
  <w:style w:type="character" w:styleId="ListLabel81">
    <w:name w:val="ListLabel 81"/>
    <w:qFormat/>
    <w:rPr>
      <w:rFonts w:cs="Courier New"/>
    </w:rPr>
  </w:style>
  <w:style w:type="character" w:styleId="ListLabel82">
    <w:name w:val="ListLabel 82"/>
    <w:qFormat/>
    <w:rPr>
      <w:rFonts w:cs="Wingdings"/>
    </w:rPr>
  </w:style>
  <w:style w:type="character" w:styleId="ListLabel83">
    <w:name w:val="ListLabel 83"/>
    <w:qFormat/>
    <w:rPr>
      <w:rFonts w:cs="Symbol"/>
    </w:rPr>
  </w:style>
  <w:style w:type="character" w:styleId="ListLabel84">
    <w:name w:val="ListLabel 84"/>
    <w:qFormat/>
    <w:rPr>
      <w:rFonts w:cs="Courier New"/>
    </w:rPr>
  </w:style>
  <w:style w:type="character" w:styleId="ListLabel85">
    <w:name w:val="ListLabel 85"/>
    <w:qFormat/>
    <w:rPr>
      <w:rFonts w:cs="Wingdings"/>
    </w:rPr>
  </w:style>
  <w:style w:type="character" w:styleId="ListLabel86">
    <w:name w:val="ListLabel 86"/>
    <w:qFormat/>
    <w:rPr>
      <w:rFonts w:eastAsia="Times New Roman"/>
      <w:sz w:val="20"/>
      <w:szCs w:val="20"/>
    </w:rPr>
  </w:style>
  <w:style w:type="character" w:styleId="ListLabel87">
    <w:name w:val="ListLabel 87"/>
    <w:qFormat/>
    <w:rPr>
      <w:rFonts w:cs="Courier New"/>
    </w:rPr>
  </w:style>
  <w:style w:type="character" w:styleId="ListLabel88">
    <w:name w:val="ListLabel 88"/>
    <w:qFormat/>
    <w:rPr>
      <w:rFonts w:cs="Wingdings"/>
    </w:rPr>
  </w:style>
  <w:style w:type="character" w:styleId="ListLabel89">
    <w:name w:val="ListLabel 89"/>
    <w:qFormat/>
    <w:rPr>
      <w:rFonts w:cs="Symbol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Wingdings"/>
    </w:rPr>
  </w:style>
  <w:style w:type="character" w:styleId="ListLabel92">
    <w:name w:val="ListLabel 92"/>
    <w:qFormat/>
    <w:rPr>
      <w:rFonts w:cs="Symbol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Wingdings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link w:val="BodyTextChar"/>
    <w:uiPriority w:val="99"/>
    <w:rsid w:val="007d1319"/>
    <w:pPr>
      <w:spacing w:lineRule="auto" w:line="288" w:before="0" w:after="140"/>
    </w:pPr>
    <w:rPr/>
  </w:style>
  <w:style w:type="paragraph" w:styleId="Style14">
    <w:name w:val="List"/>
    <w:basedOn w:val="Style13"/>
    <w:uiPriority w:val="99"/>
    <w:rsid w:val="007d1319"/>
    <w:pPr/>
    <w:rPr/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Lucida Sans"/>
    </w:rPr>
  </w:style>
  <w:style w:type="paragraph" w:styleId="12" w:customStyle="1">
    <w:name w:val="Заголовок1"/>
    <w:basedOn w:val="Normal"/>
    <w:next w:val="Style13"/>
    <w:uiPriority w:val="99"/>
    <w:qFormat/>
    <w:rsid w:val="007d1319"/>
    <w:pPr>
      <w:keepNext/>
      <w:spacing w:before="240" w:after="120"/>
    </w:pPr>
    <w:rPr>
      <w:rFonts w:ascii="Liberation Sans" w:hAnsi="Liberation Sans" w:eastAsia="Microsoft YaHei" w:cs="Liberation Sans"/>
      <w:sz w:val="28"/>
      <w:szCs w:val="28"/>
    </w:rPr>
  </w:style>
  <w:style w:type="paragraph" w:styleId="Caption">
    <w:name w:val="caption"/>
    <w:basedOn w:val="12"/>
    <w:next w:val="Style13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22" w:customStyle="1">
    <w:name w:val="Указатель2"/>
    <w:basedOn w:val="Normal"/>
    <w:uiPriority w:val="99"/>
    <w:qFormat/>
    <w:rsid w:val="007d1319"/>
    <w:pPr>
      <w:suppressLineNumbers/>
    </w:pPr>
    <w:rPr/>
  </w:style>
  <w:style w:type="paragraph" w:styleId="13" w:customStyle="1">
    <w:name w:val="Название объекта1"/>
    <w:basedOn w:val="Normal"/>
    <w:uiPriority w:val="99"/>
    <w:qFormat/>
    <w:rsid w:val="007d1319"/>
    <w:pPr>
      <w:suppressLineNumbers/>
      <w:spacing w:before="120" w:after="120"/>
    </w:pPr>
    <w:rPr>
      <w:i/>
      <w:iCs/>
      <w:sz w:val="24"/>
      <w:szCs w:val="24"/>
    </w:rPr>
  </w:style>
  <w:style w:type="paragraph" w:styleId="14" w:customStyle="1">
    <w:name w:val="Указатель1"/>
    <w:basedOn w:val="Normal"/>
    <w:uiPriority w:val="99"/>
    <w:qFormat/>
    <w:rsid w:val="007d1319"/>
    <w:pPr>
      <w:suppressLineNumbers/>
    </w:pPr>
    <w:rPr/>
  </w:style>
  <w:style w:type="paragraph" w:styleId="Style17" w:customStyle="1">
    <w:name w:val="Блочная цитата"/>
    <w:basedOn w:val="Normal"/>
    <w:uiPriority w:val="99"/>
    <w:qFormat/>
    <w:rsid w:val="007d1319"/>
    <w:pPr>
      <w:spacing w:before="0" w:after="283"/>
      <w:ind w:left="567" w:right="567" w:hanging="0"/>
    </w:pPr>
    <w:rPr/>
  </w:style>
  <w:style w:type="paragraph" w:styleId="Style18">
    <w:name w:val="Subtitle"/>
    <w:basedOn w:val="12"/>
    <w:next w:val="Style13"/>
    <w:link w:val="SubtitleChar"/>
    <w:uiPriority w:val="99"/>
    <w:qFormat/>
    <w:rsid w:val="007d1319"/>
    <w:pPr>
      <w:spacing w:before="60" w:after="120"/>
      <w:jc w:val="center"/>
    </w:pPr>
    <w:rPr>
      <w:sz w:val="36"/>
      <w:szCs w:val="36"/>
    </w:rPr>
  </w:style>
  <w:style w:type="paragraph" w:styleId="Style19">
    <w:name w:val="Title"/>
    <w:basedOn w:val="12"/>
    <w:next w:val="Style13"/>
    <w:link w:val="TitleChar"/>
    <w:uiPriority w:val="99"/>
    <w:qFormat/>
    <w:rsid w:val="007d1319"/>
    <w:pPr>
      <w:jc w:val="center"/>
    </w:pPr>
    <w:rPr>
      <w:b/>
      <w:bCs/>
      <w:sz w:val="56"/>
      <w:szCs w:val="56"/>
    </w:rPr>
  </w:style>
  <w:style w:type="paragraph" w:styleId="Style20" w:customStyle="1">
    <w:name w:val="Знак"/>
    <w:basedOn w:val="Normal"/>
    <w:uiPriority w:val="99"/>
    <w:qFormat/>
    <w:rsid w:val="004006e3"/>
    <w:pPr>
      <w:suppressAutoHyphens w:val="false"/>
    </w:pPr>
    <w:rPr>
      <w:rFonts w:ascii="Verdana" w:hAnsi="Verdana" w:cs="Verdana"/>
      <w:lang w:eastAsia="en-US"/>
    </w:rPr>
  </w:style>
  <w:style w:type="paragraph" w:styleId="Western" w:customStyle="1">
    <w:name w:val="western"/>
    <w:basedOn w:val="Normal"/>
    <w:uiPriority w:val="99"/>
    <w:qFormat/>
    <w:rsid w:val="004006e3"/>
    <w:pPr>
      <w:suppressAutoHyphens w:val="false"/>
      <w:spacing w:lineRule="auto" w:line="276" w:before="280" w:after="142"/>
    </w:pPr>
    <w:rPr>
      <w:color w:val="000000"/>
      <w:lang w:val="uk-UA"/>
    </w:rPr>
  </w:style>
  <w:style w:type="paragraph" w:styleId="Style21">
    <w:name w:val="Header"/>
    <w:basedOn w:val="Normal"/>
    <w:link w:val="HeaderChar"/>
    <w:uiPriority w:val="99"/>
    <w:rsid w:val="00451fc6"/>
    <w:pPr>
      <w:tabs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qFormat/>
    <w:rsid w:val="003d0ec9"/>
    <w:pPr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qFormat/>
    <w:rsid w:val="007c5d61"/>
    <w:pPr>
      <w:suppressAutoHyphens w:val="false"/>
      <w:spacing w:beforeAutospacing="1" w:afterAutospacing="1"/>
    </w:pPr>
    <w:rPr>
      <w:sz w:val="24"/>
      <w:szCs w:val="24"/>
      <w:lang w:val="uk-UA" w:eastAsia="uk-UA"/>
    </w:rPr>
  </w:style>
  <w:style w:type="paragraph" w:styleId="Style22">
    <w:name w:val="Footer"/>
    <w:basedOn w:val="Normal"/>
    <w:link w:val="FooterChar"/>
    <w:uiPriority w:val="99"/>
    <w:rsid w:val="00b532b2"/>
    <w:pPr>
      <w:tabs>
        <w:tab w:val="center" w:pos="4819" w:leader="none"/>
        <w:tab w:val="right" w:pos="9639" w:leader="none"/>
      </w:tabs>
    </w:pPr>
    <w:rPr/>
  </w:style>
  <w:style w:type="paragraph" w:styleId="BodyTextIndent2">
    <w:name w:val="Body Text Indent 2"/>
    <w:basedOn w:val="Normal"/>
    <w:link w:val="BodyTextIndent2Char"/>
    <w:uiPriority w:val="99"/>
    <w:qFormat/>
    <w:rsid w:val="00203050"/>
    <w:pPr>
      <w:spacing w:lineRule="auto" w:line="480" w:before="0" w:after="120"/>
      <w:ind w:left="283" w:hanging="0"/>
    </w:pPr>
    <w:rPr/>
  </w:style>
  <w:style w:type="paragraph" w:styleId="Style23" w:customStyle="1">
    <w:name w:val="Знак Знак Знак"/>
    <w:basedOn w:val="Normal"/>
    <w:uiPriority w:val="99"/>
    <w:qFormat/>
    <w:rsid w:val="00203050"/>
    <w:pPr>
      <w:suppressAutoHyphens w:val="false"/>
    </w:pPr>
    <w:rPr>
      <w:rFonts w:ascii="Verdana" w:hAnsi="Verdana" w:cs="Verdana"/>
      <w:lang w:eastAsia="en-US"/>
    </w:rPr>
  </w:style>
  <w:style w:type="paragraph" w:styleId="BodyText3">
    <w:name w:val="Body Text 3"/>
    <w:basedOn w:val="Normal"/>
    <w:link w:val="BodyText3Char"/>
    <w:uiPriority w:val="99"/>
    <w:qFormat/>
    <w:rsid w:val="00203050"/>
    <w:pPr>
      <w:spacing w:before="0" w:after="120"/>
    </w:pPr>
    <w:rPr>
      <w:sz w:val="16"/>
      <w:szCs w:val="16"/>
    </w:rPr>
  </w:style>
  <w:style w:type="paragraph" w:styleId="15" w:customStyle="1">
    <w:name w:val="Обычный1"/>
    <w:uiPriority w:val="99"/>
    <w:qFormat/>
    <w:rsid w:val="00203050"/>
    <w:pPr>
      <w:widowControl/>
      <w:bidi w:val="0"/>
      <w:jc w:val="center"/>
    </w:pPr>
    <w:rPr>
      <w:rFonts w:ascii="Times New Roman" w:hAnsi="Times New Roman" w:eastAsia="Times New Roman" w:cs="Times New Roman"/>
      <w:b/>
      <w:bCs/>
      <w:color w:val="000000"/>
      <w:sz w:val="32"/>
      <w:szCs w:val="32"/>
      <w:lang w:eastAsia="ru-RU" w:val="uk-UA" w:bidi="ar-SA"/>
    </w:rPr>
  </w:style>
  <w:style w:type="paragraph" w:styleId="CharCharCharChar" w:customStyle="1">
    <w:name w:val="Char Знак Знак Char Знак Знак Char Знак Знак Char Знак Знак Знак"/>
    <w:basedOn w:val="Normal"/>
    <w:uiPriority w:val="99"/>
    <w:qFormat/>
    <w:rsid w:val="00962622"/>
    <w:pPr>
      <w:suppressAutoHyphens w:val="false"/>
    </w:pPr>
    <w:rPr>
      <w:rFonts w:ascii="Verdana" w:hAnsi="Verdana" w:cs="Verdana"/>
      <w:lang w:eastAsia="en-US"/>
    </w:rPr>
  </w:style>
  <w:style w:type="paragraph" w:styleId="BodyText2">
    <w:name w:val="Body Text 2"/>
    <w:basedOn w:val="Normal"/>
    <w:link w:val="BodyText2Char"/>
    <w:uiPriority w:val="99"/>
    <w:qFormat/>
    <w:rsid w:val="00962622"/>
    <w:pPr>
      <w:suppressAutoHyphens w:val="false"/>
      <w:spacing w:lineRule="auto" w:line="480" w:before="0" w:after="120"/>
    </w:pPr>
    <w:rPr>
      <w:sz w:val="24"/>
      <w:szCs w:val="24"/>
      <w:lang w:val="ru-RU" w:eastAsia="ru-RU"/>
    </w:rPr>
  </w:style>
  <w:style w:type="paragraph" w:styleId="Style24" w:customStyle="1">
    <w:name w:val="Знак Знак Знак Знак Знак Знак Знак"/>
    <w:basedOn w:val="Normal"/>
    <w:uiPriority w:val="99"/>
    <w:qFormat/>
    <w:rsid w:val="0057368a"/>
    <w:pPr>
      <w:suppressAutoHyphens w:val="false"/>
    </w:pPr>
    <w:rPr>
      <w:rFonts w:ascii="Verdana" w:hAnsi="Verdana" w:cs="Verdana"/>
      <w:lang w:eastAsia="en-US"/>
    </w:rPr>
  </w:style>
  <w:style w:type="paragraph" w:styleId="FR2" w:customStyle="1">
    <w:name w:val="FR2"/>
    <w:uiPriority w:val="99"/>
    <w:qFormat/>
    <w:rsid w:val="00bb04f8"/>
    <w:pPr>
      <w:widowControl w:val="false"/>
      <w:bidi w:val="0"/>
      <w:ind w:left="200" w:hanging="0"/>
      <w:jc w:val="center"/>
    </w:pPr>
    <w:rPr>
      <w:rFonts w:ascii="Times New Roman" w:hAnsi="Times New Roman" w:eastAsia="Times New Roman" w:cs="Times New Roman"/>
      <w:color w:val="auto"/>
      <w:sz w:val="56"/>
      <w:szCs w:val="56"/>
      <w:lang w:eastAsia="ru-RU" w:val="uk-UA" w:bidi="ar-SA"/>
    </w:rPr>
  </w:style>
  <w:style w:type="paragraph" w:styleId="ListParagraph">
    <w:name w:val="List Paragraph"/>
    <w:basedOn w:val="Normal"/>
    <w:uiPriority w:val="99"/>
    <w:qFormat/>
    <w:rsid w:val="00de7b7f"/>
    <w:pPr>
      <w:ind w:left="720" w:hanging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3d0ec9"/>
    <w:rPr>
      <w:sz w:val="20"/>
      <w:szCs w:val="20"/>
    </w:rPr>
    <w:tblPr>
      <w:tblInd w:w="0" w:type="nil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774</TotalTime>
  <Application>LibreOffice/5.1.6.2$Windows_X86_64 LibreOffice_project/07ac168c60a517dba0f0d7bc7540f5afa45f0909</Application>
  <Pages>4</Pages>
  <Words>735</Words>
  <Characters>4855</Characters>
  <CharactersWithSpaces>5534</CharactersWithSpaces>
  <Paragraphs>193</Paragraphs>
  <Company>NhT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2022-10-10T15:42:00Z</dcterms:created>
  <dc:creator>Работа</dc:creator>
  <dc:description/>
  <dc:language>uk-UA</dc:language>
  <cp:lastModifiedBy/>
  <cp:lastPrinted>2021-12-15T06:53:00Z</cp:lastPrinted>
  <dcterms:modified xsi:type="dcterms:W3CDTF">2023-11-13T13:27:33Z</dcterms:modified>
  <cp:revision>76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NhT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